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1C72" w14:textId="77777777" w:rsidR="00657B60" w:rsidRPr="008500AB" w:rsidRDefault="006A17A0">
      <w:pPr>
        <w:pBdr>
          <w:bottom w:val="single" w:sz="8" w:space="4" w:color="4F81BD"/>
        </w:pBdr>
        <w:spacing w:after="300" w:line="240" w:lineRule="auto"/>
        <w:contextualSpacing/>
        <w:rPr>
          <w:rFonts w:eastAsia="Times New Roman" w:cs="Times New Roman"/>
          <w:color w:val="17365D"/>
          <w:spacing w:val="5"/>
          <w:kern w:val="28"/>
          <w:sz w:val="52"/>
          <w:szCs w:val="52"/>
        </w:rPr>
      </w:pPr>
      <w:r w:rsidRPr="008500AB">
        <w:rPr>
          <w:rFonts w:eastAsia="Times New Roman" w:cs="Times New Roman"/>
          <w:color w:val="17365D"/>
          <w:spacing w:val="5"/>
          <w:kern w:val="28"/>
          <w:sz w:val="52"/>
          <w:szCs w:val="52"/>
        </w:rPr>
        <w:t>201</w:t>
      </w:r>
      <w:r w:rsidR="00F06B30">
        <w:rPr>
          <w:rFonts w:eastAsia="Times New Roman" w:cs="Times New Roman"/>
          <w:color w:val="17365D"/>
          <w:spacing w:val="5"/>
          <w:kern w:val="28"/>
          <w:sz w:val="52"/>
          <w:szCs w:val="52"/>
        </w:rPr>
        <w:t>5</w:t>
      </w:r>
      <w:r w:rsidRPr="008500AB">
        <w:rPr>
          <w:rFonts w:eastAsia="Times New Roman" w:cs="Times New Roman"/>
          <w:color w:val="17365D"/>
          <w:spacing w:val="5"/>
          <w:kern w:val="28"/>
          <w:sz w:val="52"/>
          <w:szCs w:val="52"/>
        </w:rPr>
        <w:t>. aastal laekunud ravimi kõrvaltoime teatised</w:t>
      </w:r>
    </w:p>
    <w:p w14:paraId="3BBE097F" w14:textId="77777777" w:rsidR="00657B60" w:rsidRPr="008500AB" w:rsidRDefault="00657B60">
      <w:pPr>
        <w:rPr>
          <w:rFonts w:eastAsia="Calibri" w:cs="Times New Roman"/>
        </w:rPr>
      </w:pPr>
    </w:p>
    <w:p w14:paraId="047F1CF0" w14:textId="77777777" w:rsidR="00F36C40" w:rsidRDefault="006A17A0">
      <w:pPr>
        <w:rPr>
          <w:rFonts w:eastAsia="Calibri" w:cs="Times New Roman"/>
        </w:rPr>
      </w:pPr>
      <w:r w:rsidRPr="00E1667A">
        <w:rPr>
          <w:rFonts w:eastAsia="Calibri" w:cs="Times New Roman"/>
        </w:rPr>
        <w:t>Ravimiametile laekus 201</w:t>
      </w:r>
      <w:r w:rsidR="00134531" w:rsidRPr="00E1667A">
        <w:rPr>
          <w:rFonts w:eastAsia="Calibri" w:cs="Times New Roman"/>
        </w:rPr>
        <w:t>5</w:t>
      </w:r>
      <w:r w:rsidRPr="00E1667A">
        <w:rPr>
          <w:rFonts w:eastAsia="Calibri" w:cs="Times New Roman"/>
        </w:rPr>
        <w:t xml:space="preserve">. aastal </w:t>
      </w:r>
      <w:r w:rsidR="00134531" w:rsidRPr="00E1667A">
        <w:rPr>
          <w:rFonts w:eastAsia="Calibri" w:cs="Times New Roman"/>
        </w:rPr>
        <w:t>229</w:t>
      </w:r>
      <w:r w:rsidRPr="00E1667A">
        <w:rPr>
          <w:rFonts w:eastAsia="Calibri" w:cs="Times New Roman"/>
        </w:rPr>
        <w:t xml:space="preserve"> ravimi kõrvaltoime teatist, milles kirjeldati </w:t>
      </w:r>
      <w:r w:rsidR="00134531" w:rsidRPr="00E1667A">
        <w:rPr>
          <w:rFonts w:eastAsia="Calibri" w:cs="Times New Roman"/>
        </w:rPr>
        <w:t>669</w:t>
      </w:r>
      <w:r w:rsidRPr="00E1667A">
        <w:rPr>
          <w:rFonts w:eastAsia="Calibri" w:cs="Times New Roman"/>
        </w:rPr>
        <w:t xml:space="preserve"> võimalikku kõrvaltoimet. </w:t>
      </w:r>
    </w:p>
    <w:p w14:paraId="1B85E7D3" w14:textId="77777777" w:rsidR="00F36C40" w:rsidRPr="00E1667A" w:rsidRDefault="00F36C40">
      <w:pPr>
        <w:rPr>
          <w:rFonts w:eastAsia="Calibri" w:cs="Times New Roman"/>
        </w:rPr>
      </w:pPr>
      <w:r>
        <w:rPr>
          <w:noProof/>
          <w:lang w:eastAsia="et-EE"/>
        </w:rPr>
        <w:drawing>
          <wp:inline distT="0" distB="0" distL="0" distR="0" wp14:anchorId="4B3887CD" wp14:editId="52BE9D03">
            <wp:extent cx="5731510" cy="3168650"/>
            <wp:effectExtent l="0" t="0" r="2159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1B4BD0" w14:textId="77777777" w:rsidR="00657B60" w:rsidRPr="008500AB" w:rsidRDefault="006A17A0">
      <w:pPr>
        <w:keepNext/>
        <w:keepLines/>
        <w:spacing w:before="480" w:after="0"/>
        <w:outlineLvl w:val="0"/>
        <w:rPr>
          <w:rFonts w:eastAsia="Calibri" w:cs="Times New Roman"/>
          <w:b/>
          <w:bCs/>
          <w:color w:val="365F91"/>
          <w:sz w:val="28"/>
          <w:szCs w:val="28"/>
        </w:rPr>
      </w:pPr>
      <w:r w:rsidRPr="008500AB">
        <w:rPr>
          <w:rFonts w:eastAsia="Calibri" w:cs="Times New Roman"/>
          <w:b/>
          <w:bCs/>
          <w:color w:val="365F91"/>
          <w:sz w:val="28"/>
          <w:szCs w:val="28"/>
        </w:rPr>
        <w:t xml:space="preserve">Kes </w:t>
      </w:r>
      <w:r w:rsidR="0038089C">
        <w:rPr>
          <w:rFonts w:eastAsia="Calibri" w:cs="Times New Roman"/>
          <w:b/>
          <w:bCs/>
          <w:color w:val="365F91"/>
          <w:sz w:val="28"/>
          <w:szCs w:val="28"/>
        </w:rPr>
        <w:t xml:space="preserve">2015 a. </w:t>
      </w:r>
      <w:r w:rsidRPr="008500AB">
        <w:rPr>
          <w:rFonts w:eastAsia="Calibri" w:cs="Times New Roman"/>
          <w:b/>
          <w:bCs/>
          <w:color w:val="365F91"/>
          <w:sz w:val="28"/>
          <w:szCs w:val="28"/>
        </w:rPr>
        <w:t>teatisi saatsid?</w:t>
      </w:r>
    </w:p>
    <w:p w14:paraId="61385350" w14:textId="77777777" w:rsidR="00657B60" w:rsidRPr="00E1667A" w:rsidRDefault="009B759E">
      <w:pPr>
        <w:pStyle w:val="NormalWeb"/>
        <w:numPr>
          <w:ilvl w:val="0"/>
          <w:numId w:val="1"/>
        </w:numPr>
        <w:spacing w:line="336" w:lineRule="auto"/>
        <w:rPr>
          <w:rFonts w:asciiTheme="minorHAnsi" w:eastAsia="Calibri" w:hAnsiTheme="minorHAnsi"/>
          <w:bCs/>
          <w:sz w:val="22"/>
          <w:szCs w:val="22"/>
          <w:lang w:eastAsia="en-US"/>
        </w:rPr>
      </w:pPr>
      <w:r w:rsidRPr="00E1667A">
        <w:rPr>
          <w:rFonts w:asciiTheme="minorHAnsi" w:eastAsia="Calibri" w:hAnsiTheme="minorHAnsi"/>
          <w:bCs/>
          <w:sz w:val="22"/>
          <w:szCs w:val="22"/>
          <w:lang w:eastAsia="en-US"/>
        </w:rPr>
        <w:t>181</w:t>
      </w:r>
      <w:r w:rsidR="006A17A0" w:rsidRPr="00E1667A">
        <w:rPr>
          <w:rFonts w:asciiTheme="minorHAnsi" w:eastAsia="Calibri" w:hAnsiTheme="minorHAnsi"/>
          <w:bCs/>
          <w:sz w:val="22"/>
          <w:szCs w:val="22"/>
          <w:lang w:eastAsia="en-US"/>
        </w:rPr>
        <w:t xml:space="preserve"> </w:t>
      </w:r>
      <w:r w:rsidR="00D16083">
        <w:rPr>
          <w:rFonts w:asciiTheme="minorHAnsi" w:eastAsia="Calibri" w:hAnsiTheme="minorHAnsi"/>
          <w:bCs/>
          <w:sz w:val="22"/>
          <w:szCs w:val="22"/>
          <w:lang w:eastAsia="en-US"/>
        </w:rPr>
        <w:t>teatist</w:t>
      </w:r>
      <w:r w:rsidR="00D16083" w:rsidRPr="00E1667A">
        <w:rPr>
          <w:rFonts w:asciiTheme="minorHAnsi" w:eastAsia="Calibri" w:hAnsiTheme="minorHAnsi"/>
          <w:bCs/>
          <w:sz w:val="22"/>
          <w:szCs w:val="22"/>
          <w:lang w:eastAsia="en-US"/>
        </w:rPr>
        <w:t xml:space="preserve"> </w:t>
      </w:r>
      <w:r w:rsidR="001F79D2" w:rsidRPr="00E1667A">
        <w:rPr>
          <w:rFonts w:asciiTheme="minorHAnsi" w:eastAsia="Calibri" w:hAnsiTheme="minorHAnsi"/>
          <w:bCs/>
          <w:sz w:val="22"/>
          <w:szCs w:val="22"/>
          <w:lang w:eastAsia="en-US"/>
        </w:rPr>
        <w:t>meditsiinitöötaja</w:t>
      </w:r>
      <w:r w:rsidR="00D16083">
        <w:rPr>
          <w:rFonts w:asciiTheme="minorHAnsi" w:eastAsia="Calibri" w:hAnsiTheme="minorHAnsi"/>
          <w:bCs/>
          <w:sz w:val="22"/>
          <w:szCs w:val="22"/>
          <w:lang w:eastAsia="en-US"/>
        </w:rPr>
        <w:t>telt</w:t>
      </w:r>
      <w:r w:rsidR="001F79D2" w:rsidRPr="00E1667A">
        <w:rPr>
          <w:rFonts w:asciiTheme="minorHAnsi" w:eastAsia="Calibri" w:hAnsiTheme="minorHAnsi"/>
          <w:bCs/>
          <w:sz w:val="22"/>
          <w:szCs w:val="22"/>
          <w:lang w:eastAsia="en-US"/>
        </w:rPr>
        <w:t xml:space="preserve"> (76</w:t>
      </w:r>
      <w:r w:rsidR="006A17A0" w:rsidRPr="00E1667A">
        <w:rPr>
          <w:rFonts w:asciiTheme="minorHAnsi" w:eastAsia="Calibri" w:hAnsiTheme="minorHAnsi"/>
          <w:bCs/>
          <w:sz w:val="22"/>
          <w:szCs w:val="22"/>
          <w:lang w:eastAsia="en-US"/>
        </w:rPr>
        <w:t xml:space="preserve"> </w:t>
      </w:r>
      <w:r w:rsidR="00D16083">
        <w:rPr>
          <w:rFonts w:asciiTheme="minorHAnsi" w:eastAsia="Calibri" w:hAnsiTheme="minorHAnsi"/>
          <w:bCs/>
          <w:sz w:val="22"/>
          <w:szCs w:val="22"/>
          <w:lang w:eastAsia="en-US"/>
        </w:rPr>
        <w:t xml:space="preserve">edastati </w:t>
      </w:r>
      <w:r w:rsidR="006A17A0" w:rsidRPr="00E1667A">
        <w:rPr>
          <w:rFonts w:asciiTheme="minorHAnsi" w:eastAsia="Calibri" w:hAnsiTheme="minorHAnsi"/>
          <w:bCs/>
          <w:sz w:val="22"/>
          <w:szCs w:val="22"/>
          <w:lang w:eastAsia="en-US"/>
        </w:rPr>
        <w:t xml:space="preserve">Ravimiametile, </w:t>
      </w:r>
      <w:r w:rsidR="001F79D2" w:rsidRPr="00E1667A">
        <w:rPr>
          <w:rFonts w:asciiTheme="minorHAnsi" w:eastAsia="Calibri" w:hAnsiTheme="minorHAnsi"/>
          <w:bCs/>
          <w:sz w:val="22"/>
          <w:szCs w:val="22"/>
          <w:lang w:eastAsia="en-US"/>
        </w:rPr>
        <w:t>100</w:t>
      </w:r>
      <w:r w:rsidR="006A17A0" w:rsidRPr="00E1667A">
        <w:rPr>
          <w:rFonts w:asciiTheme="minorHAnsi" w:eastAsia="Calibri" w:hAnsiTheme="minorHAnsi"/>
          <w:bCs/>
          <w:sz w:val="22"/>
          <w:szCs w:val="22"/>
          <w:lang w:eastAsia="en-US"/>
        </w:rPr>
        <w:t xml:space="preserve"> ravimi müügiloa hoidjale</w:t>
      </w:r>
      <w:r w:rsidR="001F79D2" w:rsidRPr="00E1667A">
        <w:rPr>
          <w:rFonts w:asciiTheme="minorHAnsi" w:eastAsia="Calibri" w:hAnsiTheme="minorHAnsi"/>
          <w:bCs/>
          <w:sz w:val="22"/>
          <w:szCs w:val="22"/>
          <w:lang w:eastAsia="en-US"/>
        </w:rPr>
        <w:t xml:space="preserve"> ja 5 juhul </w:t>
      </w:r>
      <w:r w:rsidR="00D16083">
        <w:rPr>
          <w:rFonts w:asciiTheme="minorHAnsi" w:eastAsia="Calibri" w:hAnsiTheme="minorHAnsi"/>
          <w:bCs/>
          <w:sz w:val="22"/>
          <w:szCs w:val="22"/>
          <w:lang w:eastAsia="en-US"/>
        </w:rPr>
        <w:t xml:space="preserve">edastati teatis </w:t>
      </w:r>
      <w:r w:rsidR="001F79D2" w:rsidRPr="00E1667A">
        <w:rPr>
          <w:rFonts w:asciiTheme="minorHAnsi" w:eastAsia="Calibri" w:hAnsiTheme="minorHAnsi"/>
          <w:bCs/>
          <w:sz w:val="22"/>
          <w:szCs w:val="22"/>
          <w:lang w:eastAsia="en-US"/>
        </w:rPr>
        <w:t>mõlemale</w:t>
      </w:r>
      <w:r w:rsidR="006A17A0" w:rsidRPr="00E1667A">
        <w:rPr>
          <w:rFonts w:asciiTheme="minorHAnsi" w:eastAsia="Calibri" w:hAnsiTheme="minorHAnsi"/>
          <w:bCs/>
          <w:sz w:val="22"/>
          <w:szCs w:val="22"/>
          <w:lang w:eastAsia="en-US"/>
        </w:rPr>
        <w:t>)</w:t>
      </w:r>
    </w:p>
    <w:p w14:paraId="48E0FB81" w14:textId="77777777" w:rsidR="00657B60" w:rsidRDefault="00AE6D91">
      <w:pPr>
        <w:pStyle w:val="NormalWeb"/>
        <w:numPr>
          <w:ilvl w:val="0"/>
          <w:numId w:val="1"/>
        </w:numPr>
        <w:spacing w:line="336" w:lineRule="auto"/>
        <w:rPr>
          <w:rFonts w:asciiTheme="minorHAnsi" w:eastAsia="Calibri" w:hAnsiTheme="minorHAnsi"/>
          <w:bCs/>
          <w:sz w:val="22"/>
          <w:szCs w:val="22"/>
          <w:lang w:eastAsia="en-US"/>
        </w:rPr>
      </w:pPr>
      <w:r w:rsidRPr="00E1667A">
        <w:rPr>
          <w:rFonts w:asciiTheme="minorHAnsi" w:eastAsia="Calibri" w:hAnsiTheme="minorHAnsi"/>
          <w:bCs/>
          <w:sz w:val="22"/>
          <w:szCs w:val="22"/>
          <w:lang w:eastAsia="en-US"/>
        </w:rPr>
        <w:t>48</w:t>
      </w:r>
      <w:r w:rsidR="006A17A0" w:rsidRPr="00E1667A">
        <w:rPr>
          <w:rFonts w:asciiTheme="minorHAnsi" w:eastAsia="Calibri" w:hAnsiTheme="minorHAnsi"/>
          <w:bCs/>
          <w:sz w:val="22"/>
          <w:szCs w:val="22"/>
          <w:lang w:eastAsia="en-US"/>
        </w:rPr>
        <w:t xml:space="preserve"> </w:t>
      </w:r>
      <w:r w:rsidR="00D16083">
        <w:rPr>
          <w:rFonts w:asciiTheme="minorHAnsi" w:eastAsia="Calibri" w:hAnsiTheme="minorHAnsi"/>
          <w:bCs/>
          <w:sz w:val="22"/>
          <w:szCs w:val="22"/>
          <w:lang w:eastAsia="en-US"/>
        </w:rPr>
        <w:t>teatist</w:t>
      </w:r>
      <w:r w:rsidR="00D16083" w:rsidRPr="00E1667A">
        <w:rPr>
          <w:rFonts w:asciiTheme="minorHAnsi" w:eastAsia="Calibri" w:hAnsiTheme="minorHAnsi"/>
          <w:bCs/>
          <w:sz w:val="22"/>
          <w:szCs w:val="22"/>
          <w:lang w:eastAsia="en-US"/>
        </w:rPr>
        <w:t xml:space="preserve"> </w:t>
      </w:r>
      <w:r w:rsidR="006A17A0" w:rsidRPr="00E1667A">
        <w:rPr>
          <w:rFonts w:asciiTheme="minorHAnsi" w:eastAsia="Calibri" w:hAnsiTheme="minorHAnsi"/>
          <w:bCs/>
          <w:sz w:val="22"/>
          <w:szCs w:val="22"/>
          <w:lang w:eastAsia="en-US"/>
        </w:rPr>
        <w:t>patsien</w:t>
      </w:r>
      <w:r w:rsidR="00D16083">
        <w:rPr>
          <w:rFonts w:asciiTheme="minorHAnsi" w:eastAsia="Calibri" w:hAnsiTheme="minorHAnsi"/>
          <w:bCs/>
          <w:sz w:val="22"/>
          <w:szCs w:val="22"/>
          <w:lang w:eastAsia="en-US"/>
        </w:rPr>
        <w:t>tidelt</w:t>
      </w:r>
      <w:r w:rsidR="006A17A0" w:rsidRPr="00E1667A">
        <w:rPr>
          <w:rFonts w:asciiTheme="minorHAnsi" w:eastAsia="Calibri" w:hAnsiTheme="minorHAnsi"/>
          <w:bCs/>
          <w:sz w:val="22"/>
          <w:szCs w:val="22"/>
          <w:lang w:eastAsia="en-US"/>
        </w:rPr>
        <w:t xml:space="preserve"> (</w:t>
      </w:r>
      <w:r w:rsidR="00314B00" w:rsidRPr="00E1667A">
        <w:rPr>
          <w:rFonts w:asciiTheme="minorHAnsi" w:eastAsia="Calibri" w:hAnsiTheme="minorHAnsi"/>
          <w:bCs/>
          <w:sz w:val="22"/>
          <w:szCs w:val="22"/>
          <w:lang w:eastAsia="en-US"/>
        </w:rPr>
        <w:t>35</w:t>
      </w:r>
      <w:r w:rsidR="006A17A0" w:rsidRPr="00E1667A">
        <w:rPr>
          <w:rFonts w:asciiTheme="minorHAnsi" w:eastAsia="Calibri" w:hAnsiTheme="minorHAnsi"/>
          <w:bCs/>
          <w:sz w:val="22"/>
          <w:szCs w:val="22"/>
          <w:lang w:eastAsia="en-US"/>
        </w:rPr>
        <w:t xml:space="preserve"> Ravimiametile, neist </w:t>
      </w:r>
      <w:r w:rsidR="00314B00" w:rsidRPr="00E1667A">
        <w:rPr>
          <w:rFonts w:asciiTheme="minorHAnsi" w:eastAsia="Calibri" w:hAnsiTheme="minorHAnsi"/>
          <w:bCs/>
          <w:sz w:val="22"/>
          <w:szCs w:val="22"/>
          <w:lang w:eastAsia="en-US"/>
        </w:rPr>
        <w:t>1</w:t>
      </w:r>
      <w:r w:rsidR="006A17A0" w:rsidRPr="00E1667A">
        <w:rPr>
          <w:rFonts w:asciiTheme="minorHAnsi" w:eastAsia="Calibri" w:hAnsiTheme="minorHAnsi"/>
          <w:bCs/>
          <w:sz w:val="22"/>
          <w:szCs w:val="22"/>
          <w:lang w:eastAsia="en-US"/>
        </w:rPr>
        <w:t xml:space="preserve"> juhul proviisori abiga ning </w:t>
      </w:r>
      <w:r w:rsidR="00314B00" w:rsidRPr="00E1667A">
        <w:rPr>
          <w:rFonts w:asciiTheme="minorHAnsi" w:eastAsia="Calibri" w:hAnsiTheme="minorHAnsi"/>
          <w:bCs/>
          <w:sz w:val="22"/>
          <w:szCs w:val="22"/>
          <w:lang w:eastAsia="en-US"/>
        </w:rPr>
        <w:t>13</w:t>
      </w:r>
      <w:r w:rsidR="006A17A0" w:rsidRPr="00E1667A">
        <w:rPr>
          <w:rFonts w:asciiTheme="minorHAnsi" w:eastAsia="Calibri" w:hAnsiTheme="minorHAnsi"/>
          <w:bCs/>
          <w:sz w:val="22"/>
          <w:szCs w:val="22"/>
          <w:lang w:eastAsia="en-US"/>
        </w:rPr>
        <w:t xml:space="preserve"> </w:t>
      </w:r>
      <w:r w:rsidR="00D16083">
        <w:rPr>
          <w:rFonts w:asciiTheme="minorHAnsi" w:eastAsia="Calibri" w:hAnsiTheme="minorHAnsi"/>
          <w:bCs/>
          <w:sz w:val="22"/>
          <w:szCs w:val="22"/>
          <w:lang w:eastAsia="en-US"/>
        </w:rPr>
        <w:t xml:space="preserve">teatist </w:t>
      </w:r>
      <w:r w:rsidR="006A17A0" w:rsidRPr="00E1667A">
        <w:rPr>
          <w:rFonts w:asciiTheme="minorHAnsi" w:eastAsia="Calibri" w:hAnsiTheme="minorHAnsi"/>
          <w:bCs/>
          <w:sz w:val="22"/>
          <w:szCs w:val="22"/>
          <w:lang w:eastAsia="en-US"/>
        </w:rPr>
        <w:t>ravimi müügiloa hoidjale)</w:t>
      </w:r>
    </w:p>
    <w:p w14:paraId="7A1D5CBA" w14:textId="77777777" w:rsidR="00F36C40" w:rsidRPr="00F36C40" w:rsidRDefault="00DB2FA3" w:rsidP="00F36C40">
      <w:pPr>
        <w:keepNext/>
        <w:keepLines/>
        <w:spacing w:before="480" w:after="0"/>
        <w:outlineLvl w:val="0"/>
        <w:rPr>
          <w:rFonts w:eastAsia="Calibri" w:cs="Times New Roman"/>
          <w:b/>
          <w:bCs/>
          <w:color w:val="365F91"/>
          <w:sz w:val="28"/>
          <w:szCs w:val="28"/>
        </w:rPr>
      </w:pPr>
      <w:r>
        <w:rPr>
          <w:rFonts w:eastAsia="Calibri" w:cs="Times New Roman"/>
          <w:b/>
          <w:bCs/>
          <w:color w:val="365F91"/>
          <w:sz w:val="28"/>
          <w:szCs w:val="28"/>
        </w:rPr>
        <w:t>Kõrvaltoime t</w:t>
      </w:r>
      <w:r w:rsidR="00F36C40" w:rsidRPr="00F36C40">
        <w:rPr>
          <w:rFonts w:eastAsia="Calibri" w:cs="Times New Roman"/>
          <w:b/>
          <w:bCs/>
          <w:color w:val="365F91"/>
          <w:sz w:val="28"/>
          <w:szCs w:val="28"/>
        </w:rPr>
        <w:t>eatised tervishoiutöötajatelt</w:t>
      </w:r>
    </w:p>
    <w:p w14:paraId="537B35BE" w14:textId="77777777" w:rsidR="00657B60" w:rsidRPr="000955E9" w:rsidRDefault="00F36C40">
      <w:pPr>
        <w:spacing w:before="100" w:beforeAutospacing="1" w:after="100" w:afterAutospacing="1" w:line="336" w:lineRule="auto"/>
        <w:rPr>
          <w:rFonts w:eastAsia="Calibri" w:cs="Times New Roman"/>
          <w:b/>
        </w:rPr>
      </w:pPr>
      <w:r w:rsidRPr="000955E9">
        <w:rPr>
          <w:rFonts w:eastAsia="Calibri" w:cs="Times New Roman"/>
          <w:b/>
        </w:rPr>
        <w:t>Ravimiametile laekus 2015. aastal t</w:t>
      </w:r>
      <w:r w:rsidR="00EB2EE0" w:rsidRPr="000955E9">
        <w:rPr>
          <w:rFonts w:eastAsia="Calibri" w:cs="Times New Roman"/>
          <w:b/>
        </w:rPr>
        <w:t xml:space="preserve">ervishoiutöötajatelt </w:t>
      </w:r>
      <w:r w:rsidR="004F7A28" w:rsidRPr="000955E9">
        <w:rPr>
          <w:rFonts w:eastAsia="Calibri" w:cs="Times New Roman"/>
          <w:b/>
        </w:rPr>
        <w:t xml:space="preserve">181 </w:t>
      </w:r>
      <w:r w:rsidR="006A17A0" w:rsidRPr="000955E9">
        <w:rPr>
          <w:rFonts w:eastAsia="Calibri" w:cs="Times New Roman"/>
          <w:b/>
        </w:rPr>
        <w:t xml:space="preserve">teatist: </w:t>
      </w:r>
    </w:p>
    <w:p w14:paraId="38C9A2B3" w14:textId="77777777" w:rsidR="00657B60" w:rsidRPr="00E1667A" w:rsidRDefault="006A17A0">
      <w:pPr>
        <w:spacing w:before="100" w:beforeAutospacing="1" w:after="100" w:afterAutospacing="1" w:line="240" w:lineRule="auto"/>
        <w:rPr>
          <w:rFonts w:eastAsia="Calibri" w:cs="Times New Roman"/>
          <w:bCs/>
        </w:rPr>
      </w:pPr>
      <w:r w:rsidRPr="00E1667A">
        <w:rPr>
          <w:rFonts w:eastAsia="Calibri" w:cs="Times New Roman"/>
          <w:bCs/>
        </w:rPr>
        <w:t>Eri- ja üldarstid</w:t>
      </w:r>
      <w:r w:rsidR="00947D82" w:rsidRPr="00E1667A">
        <w:rPr>
          <w:rFonts w:eastAsia="Calibri" w:cs="Times New Roman"/>
          <w:bCs/>
        </w:rPr>
        <w:t>, kooliarstid</w:t>
      </w:r>
      <w:r w:rsidRPr="00E1667A">
        <w:rPr>
          <w:rFonts w:eastAsia="Calibri" w:cs="Times New Roman"/>
          <w:bCs/>
        </w:rPr>
        <w:t xml:space="preserve"> – </w:t>
      </w:r>
      <w:r w:rsidR="00947D82" w:rsidRPr="00E1667A">
        <w:rPr>
          <w:rFonts w:eastAsia="Calibri" w:cs="Times New Roman"/>
          <w:bCs/>
        </w:rPr>
        <w:t>5</w:t>
      </w:r>
      <w:r w:rsidR="00A110A7">
        <w:rPr>
          <w:rFonts w:eastAsia="Calibri" w:cs="Times New Roman"/>
          <w:bCs/>
        </w:rPr>
        <w:t>7</w:t>
      </w:r>
    </w:p>
    <w:p w14:paraId="2A737D5A" w14:textId="77777777" w:rsidR="00657B60" w:rsidRPr="00E1667A" w:rsidRDefault="00A110A7">
      <w:pPr>
        <w:spacing w:before="100" w:beforeAutospacing="1" w:after="100" w:afterAutospacing="1" w:line="240" w:lineRule="auto"/>
        <w:rPr>
          <w:rFonts w:eastAsia="Calibri" w:cs="Times New Roman"/>
          <w:bCs/>
        </w:rPr>
      </w:pPr>
      <w:r w:rsidRPr="00E1667A">
        <w:rPr>
          <w:rFonts w:eastAsia="Calibri" w:cs="Times New Roman"/>
          <w:bCs/>
        </w:rPr>
        <w:t>P</w:t>
      </w:r>
      <w:r w:rsidR="006A17A0" w:rsidRPr="00E1667A">
        <w:rPr>
          <w:rFonts w:eastAsia="Calibri" w:cs="Times New Roman"/>
          <w:bCs/>
        </w:rPr>
        <w:t>erearstid</w:t>
      </w:r>
      <w:r>
        <w:rPr>
          <w:rFonts w:eastAsia="Calibri" w:cs="Times New Roman"/>
          <w:bCs/>
        </w:rPr>
        <w:t>, kooliõde/arst</w:t>
      </w:r>
      <w:r w:rsidR="006A17A0" w:rsidRPr="00E1667A">
        <w:rPr>
          <w:rFonts w:eastAsia="Calibri" w:cs="Times New Roman"/>
          <w:bCs/>
        </w:rPr>
        <w:t xml:space="preserve"> – </w:t>
      </w:r>
      <w:r>
        <w:rPr>
          <w:rFonts w:eastAsia="Calibri" w:cs="Times New Roman"/>
          <w:bCs/>
        </w:rPr>
        <w:t>22</w:t>
      </w:r>
    </w:p>
    <w:p w14:paraId="2B9CB4BF" w14:textId="77777777" w:rsidR="00657B60" w:rsidRDefault="00D16083">
      <w:pPr>
        <w:spacing w:before="100" w:beforeAutospacing="1" w:after="100" w:afterAutospacing="1" w:line="240" w:lineRule="auto"/>
        <w:rPr>
          <w:rFonts w:eastAsia="Calibri" w:cs="Times New Roman"/>
          <w:bCs/>
        </w:rPr>
      </w:pPr>
      <w:r>
        <w:rPr>
          <w:rFonts w:eastAsia="Calibri" w:cs="Times New Roman"/>
          <w:bCs/>
        </w:rPr>
        <w:t>meditsiini</w:t>
      </w:r>
      <w:r w:rsidR="006A17A0" w:rsidRPr="00E1667A">
        <w:rPr>
          <w:rFonts w:eastAsia="Calibri" w:cs="Times New Roman"/>
          <w:bCs/>
        </w:rPr>
        <w:t xml:space="preserve">õed – </w:t>
      </w:r>
      <w:r w:rsidR="00947D82" w:rsidRPr="00E1667A">
        <w:rPr>
          <w:rFonts w:eastAsia="Calibri" w:cs="Times New Roman"/>
          <w:bCs/>
        </w:rPr>
        <w:t>2</w:t>
      </w:r>
    </w:p>
    <w:p w14:paraId="35CECF11" w14:textId="77777777" w:rsidR="00F36C40" w:rsidRDefault="00D764A6">
      <w:pPr>
        <w:spacing w:before="100" w:beforeAutospacing="1" w:after="100" w:afterAutospacing="1" w:line="336" w:lineRule="auto"/>
        <w:rPr>
          <w:rFonts w:eastAsia="Calibri" w:cs="Times New Roman"/>
          <w:bCs/>
        </w:rPr>
      </w:pPr>
      <w:r w:rsidRPr="00D764A6">
        <w:rPr>
          <w:rFonts w:eastAsia="Calibri" w:cs="Times New Roman"/>
          <w:bCs/>
        </w:rPr>
        <w:lastRenderedPageBreak/>
        <w:t xml:space="preserve">Müügiloa hoidja edastas  Ravimiametile tervishoiutöötajatelt 100 teatist. </w:t>
      </w:r>
    </w:p>
    <w:p w14:paraId="59EA842F" w14:textId="59271B21" w:rsidR="00657B60" w:rsidRPr="00AD24C2" w:rsidRDefault="000955E9">
      <w:pPr>
        <w:spacing w:before="100" w:beforeAutospacing="1" w:after="100" w:afterAutospacing="1" w:line="336" w:lineRule="auto"/>
        <w:rPr>
          <w:rFonts w:eastAsia="Calibri" w:cs="Times New Roman"/>
        </w:rPr>
      </w:pPr>
      <w:r w:rsidRPr="00AD24C2">
        <w:rPr>
          <w:rFonts w:eastAsia="Calibri" w:cs="Times New Roman"/>
          <w:b/>
        </w:rPr>
        <w:t>Ravimiametile</w:t>
      </w:r>
      <w:r>
        <w:rPr>
          <w:rFonts w:eastAsia="Calibri" w:cs="Times New Roman"/>
          <w:b/>
        </w:rPr>
        <w:t xml:space="preserve"> laekus t</w:t>
      </w:r>
      <w:r w:rsidR="00EB2EE0" w:rsidRPr="00AD24C2">
        <w:rPr>
          <w:rFonts w:eastAsia="Calibri" w:cs="Times New Roman"/>
          <w:b/>
        </w:rPr>
        <w:t>ervishoiuasutustest ja koolidest</w:t>
      </w:r>
      <w:r w:rsidR="006A17A0" w:rsidRPr="00AD24C2">
        <w:rPr>
          <w:rFonts w:eastAsia="Calibri" w:cs="Times New Roman"/>
        </w:rPr>
        <w:t xml:space="preserve"> </w:t>
      </w:r>
      <w:r w:rsidR="00661E17" w:rsidRPr="00AD24C2">
        <w:rPr>
          <w:rFonts w:eastAsia="Calibri" w:cs="Times New Roman"/>
          <w:b/>
        </w:rPr>
        <w:t>79</w:t>
      </w:r>
      <w:r w:rsidR="006A17A0" w:rsidRPr="00AD24C2">
        <w:rPr>
          <w:rFonts w:eastAsia="Calibri" w:cs="Times New Roman"/>
        </w:rPr>
        <w:t xml:space="preserve"> </w:t>
      </w:r>
      <w:r w:rsidR="006A17A0" w:rsidRPr="00AD24C2">
        <w:rPr>
          <w:rFonts w:eastAsia="Calibri" w:cs="Times New Roman"/>
          <w:b/>
        </w:rPr>
        <w:t>teatist:</w:t>
      </w:r>
      <w:r w:rsidR="006A17A0" w:rsidRPr="00AD24C2">
        <w:rPr>
          <w:rFonts w:eastAsia="Calibri" w:cs="Times New Roman"/>
        </w:rPr>
        <w:t xml:space="preserve"> </w:t>
      </w:r>
    </w:p>
    <w:p w14:paraId="14DDE415"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SA</w:t>
      </w:r>
      <w:r w:rsidR="00CB246C" w:rsidRPr="00AD24C2">
        <w:rPr>
          <w:rFonts w:eastAsia="Calibri" w:cs="Times New Roman"/>
          <w:bCs/>
        </w:rPr>
        <w:t xml:space="preserve"> Põhja-Eesti Regionaalhaigla – 2</w:t>
      </w:r>
      <w:r w:rsidRPr="00AD24C2">
        <w:rPr>
          <w:rFonts w:eastAsia="Calibri" w:cs="Times New Roman"/>
          <w:bCs/>
        </w:rPr>
        <w:t>3</w:t>
      </w:r>
    </w:p>
    <w:p w14:paraId="1F83A76A" w14:textId="77777777" w:rsidR="00AD24C2" w:rsidRPr="00AD24C2" w:rsidRDefault="00AD24C2" w:rsidP="00AD24C2">
      <w:pPr>
        <w:spacing w:before="100" w:beforeAutospacing="1" w:after="100" w:afterAutospacing="1" w:line="240" w:lineRule="auto"/>
        <w:rPr>
          <w:rFonts w:eastAsia="Calibri" w:cs="Times New Roman"/>
          <w:bCs/>
        </w:rPr>
      </w:pPr>
      <w:r w:rsidRPr="00AD24C2">
        <w:rPr>
          <w:rFonts w:eastAsia="Calibri" w:cs="Times New Roman"/>
          <w:bCs/>
        </w:rPr>
        <w:t xml:space="preserve">Perearstikeskustest – 21 </w:t>
      </w:r>
    </w:p>
    <w:p w14:paraId="18BA4050"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 xml:space="preserve">SA TÜ Kliinikum – </w:t>
      </w:r>
      <w:r w:rsidR="00661E17" w:rsidRPr="00AD24C2">
        <w:rPr>
          <w:rFonts w:eastAsia="Calibri" w:cs="Times New Roman"/>
          <w:bCs/>
        </w:rPr>
        <w:t>11</w:t>
      </w:r>
    </w:p>
    <w:p w14:paraId="3C41F662"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 xml:space="preserve">AS Ida-Tallinna Keskhaigla – </w:t>
      </w:r>
      <w:r w:rsidR="00CB246C" w:rsidRPr="00AD24C2">
        <w:rPr>
          <w:rFonts w:eastAsia="Calibri" w:cs="Times New Roman"/>
          <w:bCs/>
        </w:rPr>
        <w:t>11</w:t>
      </w:r>
    </w:p>
    <w:p w14:paraId="4995E5B8" w14:textId="77777777" w:rsidR="00CB246C" w:rsidRPr="00AD24C2" w:rsidRDefault="00CB246C">
      <w:pPr>
        <w:spacing w:before="100" w:beforeAutospacing="1" w:after="100" w:afterAutospacing="1" w:line="240" w:lineRule="auto"/>
        <w:rPr>
          <w:rFonts w:eastAsia="Calibri" w:cs="Times New Roman"/>
          <w:bCs/>
        </w:rPr>
      </w:pPr>
      <w:r w:rsidRPr="00AD24C2">
        <w:rPr>
          <w:rFonts w:eastAsia="Calibri" w:cs="Times New Roman"/>
          <w:bCs/>
        </w:rPr>
        <w:t xml:space="preserve">AS Rakvere Haigla – 2 </w:t>
      </w:r>
    </w:p>
    <w:p w14:paraId="169A8EB3" w14:textId="77777777" w:rsidR="00CB246C" w:rsidRPr="00AD24C2" w:rsidRDefault="00CB246C">
      <w:pPr>
        <w:spacing w:before="100" w:beforeAutospacing="1" w:after="100" w:afterAutospacing="1" w:line="240" w:lineRule="auto"/>
        <w:rPr>
          <w:rFonts w:eastAsia="Calibri" w:cs="Times New Roman"/>
          <w:bCs/>
        </w:rPr>
      </w:pPr>
      <w:r w:rsidRPr="00AD24C2">
        <w:rPr>
          <w:rFonts w:eastAsia="Calibri" w:cs="Times New Roman"/>
          <w:bCs/>
        </w:rPr>
        <w:t xml:space="preserve">SA Pärnu Haigla – 2 </w:t>
      </w:r>
    </w:p>
    <w:p w14:paraId="42612E1D" w14:textId="77777777" w:rsidR="00CB246C" w:rsidRPr="00AD24C2" w:rsidRDefault="00CB246C">
      <w:pPr>
        <w:spacing w:before="100" w:beforeAutospacing="1" w:after="100" w:afterAutospacing="1" w:line="240" w:lineRule="auto"/>
        <w:rPr>
          <w:rFonts w:eastAsia="Calibri" w:cs="Times New Roman"/>
          <w:bCs/>
        </w:rPr>
      </w:pPr>
      <w:r w:rsidRPr="00AD24C2">
        <w:rPr>
          <w:rFonts w:eastAsia="Calibri" w:cs="Times New Roman"/>
          <w:bCs/>
        </w:rPr>
        <w:t xml:space="preserve">SA Ida-Viru Keskhaigla – 2 </w:t>
      </w:r>
    </w:p>
    <w:p w14:paraId="2532D425"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 xml:space="preserve">SA Tallinna Lastehaigla – 2 </w:t>
      </w:r>
    </w:p>
    <w:p w14:paraId="2A015F77"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AS Lõuna-Eesti Haigla – 1</w:t>
      </w:r>
    </w:p>
    <w:p w14:paraId="11B831C6"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AS Lääne-Tallinna Keskhaigla – 1</w:t>
      </w:r>
    </w:p>
    <w:p w14:paraId="625A2EBA" w14:textId="77777777" w:rsidR="00CB246C" w:rsidRPr="00AD24C2" w:rsidRDefault="00CB246C">
      <w:pPr>
        <w:spacing w:before="100" w:beforeAutospacing="1" w:after="100" w:afterAutospacing="1" w:line="240" w:lineRule="auto"/>
        <w:rPr>
          <w:rFonts w:eastAsia="Calibri" w:cs="Times New Roman"/>
          <w:bCs/>
        </w:rPr>
      </w:pPr>
      <w:r w:rsidRPr="00AD24C2">
        <w:rPr>
          <w:rFonts w:eastAsia="Calibri" w:cs="Times New Roman"/>
          <w:bCs/>
        </w:rPr>
        <w:t xml:space="preserve">AS Põlva Haigla – 1 </w:t>
      </w:r>
    </w:p>
    <w:p w14:paraId="38BF7F72" w14:textId="77777777" w:rsidR="00657B60" w:rsidRPr="00AD24C2" w:rsidRDefault="006A17A0">
      <w:pPr>
        <w:spacing w:before="100" w:beforeAutospacing="1" w:after="100" w:afterAutospacing="1" w:line="240" w:lineRule="auto"/>
        <w:rPr>
          <w:rFonts w:eastAsia="Calibri" w:cs="Times New Roman"/>
          <w:bCs/>
        </w:rPr>
      </w:pPr>
      <w:r w:rsidRPr="00AD24C2">
        <w:rPr>
          <w:rFonts w:eastAsia="Calibri" w:cs="Times New Roman"/>
          <w:bCs/>
        </w:rPr>
        <w:t xml:space="preserve">Valga Haigla AS – 1 </w:t>
      </w:r>
    </w:p>
    <w:p w14:paraId="25890524" w14:textId="77777777" w:rsidR="00657B60" w:rsidRPr="00AD24C2" w:rsidRDefault="008D0A5E">
      <w:pPr>
        <w:spacing w:before="100" w:beforeAutospacing="1" w:after="100" w:afterAutospacing="1" w:line="240" w:lineRule="auto"/>
        <w:rPr>
          <w:rFonts w:eastAsia="Calibri" w:cs="Times New Roman"/>
          <w:bCs/>
        </w:rPr>
      </w:pPr>
      <w:r w:rsidRPr="00AD24C2">
        <w:rPr>
          <w:rFonts w:eastAsia="Calibri" w:cs="Times New Roman"/>
          <w:bCs/>
        </w:rPr>
        <w:t xml:space="preserve">Koolidest </w:t>
      </w:r>
      <w:r w:rsidR="006A17A0" w:rsidRPr="00AD24C2">
        <w:rPr>
          <w:rFonts w:eastAsia="Calibri" w:cs="Times New Roman"/>
          <w:bCs/>
        </w:rPr>
        <w:t xml:space="preserve">– 1 </w:t>
      </w:r>
    </w:p>
    <w:p w14:paraId="14970FEC" w14:textId="77777777" w:rsidR="00657B60" w:rsidRPr="008500AB" w:rsidRDefault="006A17A0">
      <w:pPr>
        <w:keepNext/>
        <w:keepLines/>
        <w:spacing w:before="480" w:after="0"/>
        <w:outlineLvl w:val="0"/>
        <w:rPr>
          <w:rFonts w:eastAsia="Calibri" w:cs="Times New Roman"/>
          <w:b/>
          <w:bCs/>
          <w:color w:val="365F91"/>
          <w:sz w:val="28"/>
          <w:szCs w:val="28"/>
        </w:rPr>
      </w:pPr>
      <w:bookmarkStart w:id="0" w:name="korvaltoime_teatiste_statistika_tosiduse"/>
      <w:r w:rsidRPr="008500AB">
        <w:rPr>
          <w:rFonts w:eastAsia="Calibri" w:cs="Times New Roman"/>
          <w:b/>
          <w:bCs/>
          <w:color w:val="365F91"/>
          <w:sz w:val="28"/>
          <w:szCs w:val="28"/>
        </w:rPr>
        <w:t xml:space="preserve">Kõrvaltoimete tõsidus ja seos ravimiga </w:t>
      </w:r>
      <w:bookmarkEnd w:id="0"/>
    </w:p>
    <w:p w14:paraId="024A7C0C" w14:textId="77777777" w:rsidR="00657B60" w:rsidRPr="00BD662F" w:rsidRDefault="006A17A0">
      <w:pPr>
        <w:spacing w:before="100" w:beforeAutospacing="1" w:after="100" w:afterAutospacing="1" w:line="336" w:lineRule="auto"/>
        <w:rPr>
          <w:rFonts w:eastAsia="Times New Roman" w:cs="Arial"/>
          <w:b/>
          <w:color w:val="2B3244"/>
          <w:lang w:eastAsia="et-EE"/>
        </w:rPr>
      </w:pPr>
      <w:r w:rsidRPr="00BD662F">
        <w:rPr>
          <w:rFonts w:eastAsia="Times New Roman" w:cs="Arial"/>
          <w:b/>
          <w:color w:val="2B3244"/>
          <w:lang w:eastAsia="et-EE"/>
        </w:rPr>
        <w:t>Kõrvaltoime (KT) teatiste jaotumine tõsiduse järgi: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657B60" w:rsidRPr="008500AB" w14:paraId="4DB02CDE" w14:textId="77777777">
        <w:tc>
          <w:tcPr>
            <w:tcW w:w="1535" w:type="dxa"/>
            <w:shd w:val="clear" w:color="auto" w:fill="auto"/>
          </w:tcPr>
          <w:p w14:paraId="7E858B62" w14:textId="77777777" w:rsidR="00657B60" w:rsidRPr="008500AB" w:rsidRDefault="00657B60">
            <w:pPr>
              <w:spacing w:before="100" w:beforeAutospacing="1" w:after="100" w:afterAutospacing="1" w:line="336" w:lineRule="auto"/>
              <w:rPr>
                <w:rFonts w:eastAsia="Times New Roman" w:cs="Arial"/>
                <w:color w:val="2B3244"/>
                <w:sz w:val="20"/>
                <w:szCs w:val="20"/>
                <w:lang w:eastAsia="et-EE"/>
              </w:rPr>
            </w:pPr>
          </w:p>
        </w:tc>
        <w:tc>
          <w:tcPr>
            <w:tcW w:w="1535" w:type="dxa"/>
            <w:shd w:val="clear" w:color="auto" w:fill="auto"/>
          </w:tcPr>
          <w:p w14:paraId="64412331"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Teatiste arv kokku</w:t>
            </w:r>
          </w:p>
        </w:tc>
        <w:tc>
          <w:tcPr>
            <w:tcW w:w="1535" w:type="dxa"/>
            <w:shd w:val="clear" w:color="auto" w:fill="auto"/>
          </w:tcPr>
          <w:p w14:paraId="31EFF1A2"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Tõsist KT sisaldavate teatiste arv</w:t>
            </w:r>
          </w:p>
        </w:tc>
        <w:tc>
          <w:tcPr>
            <w:tcW w:w="1535" w:type="dxa"/>
            <w:shd w:val="clear" w:color="auto" w:fill="auto"/>
          </w:tcPr>
          <w:p w14:paraId="5D159DBB"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Teatises kirjeldatud võimalike KT arv</w:t>
            </w:r>
          </w:p>
        </w:tc>
        <w:tc>
          <w:tcPr>
            <w:tcW w:w="1536" w:type="dxa"/>
            <w:shd w:val="clear" w:color="auto" w:fill="auto"/>
          </w:tcPr>
          <w:p w14:paraId="2150EC85"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Nendest tõsiseid KT</w:t>
            </w:r>
          </w:p>
        </w:tc>
        <w:tc>
          <w:tcPr>
            <w:tcW w:w="1536" w:type="dxa"/>
            <w:shd w:val="clear" w:color="auto" w:fill="auto"/>
          </w:tcPr>
          <w:p w14:paraId="388E7F23"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Nendest mittetõsiseid KT</w:t>
            </w:r>
          </w:p>
        </w:tc>
      </w:tr>
      <w:tr w:rsidR="00657B60" w:rsidRPr="00AD24C2" w14:paraId="2F69345E" w14:textId="77777777">
        <w:tc>
          <w:tcPr>
            <w:tcW w:w="1535" w:type="dxa"/>
            <w:shd w:val="clear" w:color="auto" w:fill="auto"/>
          </w:tcPr>
          <w:p w14:paraId="7AB6219A" w14:textId="77777777" w:rsidR="00657B60" w:rsidRPr="00AD24C2" w:rsidRDefault="006A17A0">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Kokku</w:t>
            </w:r>
          </w:p>
        </w:tc>
        <w:tc>
          <w:tcPr>
            <w:tcW w:w="1535" w:type="dxa"/>
            <w:shd w:val="clear" w:color="auto" w:fill="auto"/>
          </w:tcPr>
          <w:p w14:paraId="383412CC" w14:textId="77777777" w:rsidR="00657B60" w:rsidRPr="00AD24C2" w:rsidRDefault="00314B00">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229</w:t>
            </w:r>
          </w:p>
        </w:tc>
        <w:tc>
          <w:tcPr>
            <w:tcW w:w="1535" w:type="dxa"/>
            <w:shd w:val="clear" w:color="auto" w:fill="auto"/>
          </w:tcPr>
          <w:p w14:paraId="40C1EDB5" w14:textId="77777777" w:rsidR="00657B60" w:rsidRPr="00AD24C2" w:rsidRDefault="00314B00" w:rsidP="002224D2">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15</w:t>
            </w:r>
            <w:r w:rsidR="002224D2" w:rsidRPr="00AD24C2">
              <w:rPr>
                <w:rFonts w:eastAsia="Times New Roman" w:cs="Arial"/>
                <w:b/>
                <w:sz w:val="20"/>
                <w:szCs w:val="20"/>
                <w:lang w:eastAsia="et-EE"/>
              </w:rPr>
              <w:t>7</w:t>
            </w:r>
            <w:r w:rsidR="006A17A0" w:rsidRPr="00AD24C2">
              <w:rPr>
                <w:rFonts w:eastAsia="Times New Roman" w:cs="Arial"/>
                <w:b/>
                <w:sz w:val="20"/>
                <w:szCs w:val="20"/>
                <w:lang w:eastAsia="et-EE"/>
              </w:rPr>
              <w:t xml:space="preserve"> (6</w:t>
            </w:r>
            <w:r w:rsidR="002224D2" w:rsidRPr="00AD24C2">
              <w:rPr>
                <w:rFonts w:eastAsia="Times New Roman" w:cs="Arial"/>
                <w:b/>
                <w:sz w:val="20"/>
                <w:szCs w:val="20"/>
                <w:lang w:eastAsia="et-EE"/>
              </w:rPr>
              <w:t>8</w:t>
            </w:r>
            <w:r w:rsidR="006A17A0" w:rsidRPr="00AD24C2">
              <w:rPr>
                <w:rFonts w:eastAsia="Times New Roman" w:cs="Arial"/>
                <w:b/>
                <w:sz w:val="20"/>
                <w:szCs w:val="20"/>
                <w:lang w:eastAsia="et-EE"/>
              </w:rPr>
              <w:t>,</w:t>
            </w:r>
            <w:r w:rsidR="002224D2" w:rsidRPr="00AD24C2">
              <w:rPr>
                <w:rFonts w:eastAsia="Times New Roman" w:cs="Arial"/>
                <w:b/>
                <w:sz w:val="20"/>
                <w:szCs w:val="20"/>
                <w:lang w:eastAsia="et-EE"/>
              </w:rPr>
              <w:t>6</w:t>
            </w:r>
            <w:r w:rsidR="006A17A0" w:rsidRPr="00AD24C2">
              <w:rPr>
                <w:rFonts w:eastAsia="Times New Roman" w:cs="Arial"/>
                <w:b/>
                <w:sz w:val="20"/>
                <w:szCs w:val="20"/>
                <w:lang w:eastAsia="et-EE"/>
              </w:rPr>
              <w:t>%)</w:t>
            </w:r>
          </w:p>
        </w:tc>
        <w:tc>
          <w:tcPr>
            <w:tcW w:w="1535" w:type="dxa"/>
            <w:shd w:val="clear" w:color="auto" w:fill="auto"/>
          </w:tcPr>
          <w:p w14:paraId="6AC90B2C" w14:textId="77777777" w:rsidR="00657B60" w:rsidRPr="00AD24C2" w:rsidRDefault="00D6458E" w:rsidP="002224D2">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6</w:t>
            </w:r>
            <w:r w:rsidR="002224D2" w:rsidRPr="00AD24C2">
              <w:rPr>
                <w:rFonts w:eastAsia="Times New Roman" w:cs="Arial"/>
                <w:b/>
                <w:sz w:val="20"/>
                <w:szCs w:val="20"/>
                <w:lang w:eastAsia="et-EE"/>
              </w:rPr>
              <w:t>77</w:t>
            </w:r>
            <w:r w:rsidR="006A17A0" w:rsidRPr="00AD24C2">
              <w:rPr>
                <w:rFonts w:eastAsia="Times New Roman" w:cs="Arial"/>
                <w:b/>
                <w:sz w:val="20"/>
                <w:szCs w:val="20"/>
                <w:lang w:eastAsia="et-EE"/>
              </w:rPr>
              <w:t>*</w:t>
            </w:r>
          </w:p>
        </w:tc>
        <w:tc>
          <w:tcPr>
            <w:tcW w:w="1536" w:type="dxa"/>
            <w:shd w:val="clear" w:color="auto" w:fill="auto"/>
          </w:tcPr>
          <w:p w14:paraId="3DBE8FB2" w14:textId="77777777" w:rsidR="00657B60" w:rsidRPr="00AD24C2" w:rsidRDefault="00D6458E" w:rsidP="002224D2">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295</w:t>
            </w:r>
            <w:r w:rsidR="006A17A0" w:rsidRPr="00AD24C2">
              <w:rPr>
                <w:rFonts w:eastAsia="Times New Roman" w:cs="Arial"/>
                <w:b/>
                <w:sz w:val="20"/>
                <w:szCs w:val="20"/>
                <w:lang w:eastAsia="et-EE"/>
              </w:rPr>
              <w:t xml:space="preserve"> (4</w:t>
            </w:r>
            <w:r w:rsidR="002224D2" w:rsidRPr="00AD24C2">
              <w:rPr>
                <w:rFonts w:eastAsia="Times New Roman" w:cs="Arial"/>
                <w:b/>
                <w:sz w:val="20"/>
                <w:szCs w:val="20"/>
                <w:lang w:eastAsia="et-EE"/>
              </w:rPr>
              <w:t>3</w:t>
            </w:r>
            <w:r w:rsidR="006A17A0" w:rsidRPr="00AD24C2">
              <w:rPr>
                <w:rFonts w:eastAsia="Times New Roman" w:cs="Arial"/>
                <w:b/>
                <w:sz w:val="20"/>
                <w:szCs w:val="20"/>
                <w:lang w:eastAsia="et-EE"/>
              </w:rPr>
              <w:t>,</w:t>
            </w:r>
            <w:r w:rsidR="002224D2" w:rsidRPr="00AD24C2">
              <w:rPr>
                <w:rFonts w:eastAsia="Times New Roman" w:cs="Arial"/>
                <w:b/>
                <w:sz w:val="20"/>
                <w:szCs w:val="20"/>
                <w:lang w:eastAsia="et-EE"/>
              </w:rPr>
              <w:t>6</w:t>
            </w:r>
            <w:r w:rsidR="006A17A0" w:rsidRPr="00AD24C2">
              <w:rPr>
                <w:rFonts w:eastAsia="Times New Roman" w:cs="Arial"/>
                <w:b/>
                <w:sz w:val="20"/>
                <w:szCs w:val="20"/>
                <w:lang w:eastAsia="et-EE"/>
              </w:rPr>
              <w:t>%)</w:t>
            </w:r>
          </w:p>
        </w:tc>
        <w:tc>
          <w:tcPr>
            <w:tcW w:w="1536" w:type="dxa"/>
            <w:shd w:val="clear" w:color="auto" w:fill="auto"/>
          </w:tcPr>
          <w:p w14:paraId="529B6B1E" w14:textId="77777777" w:rsidR="00657B60" w:rsidRPr="00AD24C2" w:rsidRDefault="00D6458E" w:rsidP="002224D2">
            <w:pPr>
              <w:spacing w:before="100" w:beforeAutospacing="1" w:after="100" w:afterAutospacing="1" w:line="336" w:lineRule="auto"/>
              <w:rPr>
                <w:rFonts w:eastAsia="Times New Roman" w:cs="Arial"/>
                <w:b/>
                <w:sz w:val="20"/>
                <w:szCs w:val="20"/>
                <w:lang w:eastAsia="et-EE"/>
              </w:rPr>
            </w:pPr>
            <w:r w:rsidRPr="00AD24C2">
              <w:rPr>
                <w:rFonts w:eastAsia="Times New Roman" w:cs="Arial"/>
                <w:b/>
                <w:sz w:val="20"/>
                <w:szCs w:val="20"/>
                <w:lang w:eastAsia="et-EE"/>
              </w:rPr>
              <w:t>3</w:t>
            </w:r>
            <w:r w:rsidR="002224D2" w:rsidRPr="00AD24C2">
              <w:rPr>
                <w:rFonts w:eastAsia="Times New Roman" w:cs="Arial"/>
                <w:b/>
                <w:sz w:val="20"/>
                <w:szCs w:val="20"/>
                <w:lang w:eastAsia="et-EE"/>
              </w:rPr>
              <w:t>82</w:t>
            </w:r>
            <w:r w:rsidR="00DE367D" w:rsidRPr="00AD24C2">
              <w:rPr>
                <w:rFonts w:eastAsia="Times New Roman" w:cs="Arial"/>
                <w:b/>
                <w:sz w:val="20"/>
                <w:szCs w:val="20"/>
                <w:lang w:eastAsia="et-EE"/>
              </w:rPr>
              <w:t xml:space="preserve"> (5</w:t>
            </w:r>
            <w:r w:rsidR="002224D2" w:rsidRPr="00AD24C2">
              <w:rPr>
                <w:rFonts w:eastAsia="Times New Roman" w:cs="Arial"/>
                <w:b/>
                <w:sz w:val="20"/>
                <w:szCs w:val="20"/>
                <w:lang w:eastAsia="et-EE"/>
              </w:rPr>
              <w:t>6</w:t>
            </w:r>
            <w:r w:rsidR="00DE367D" w:rsidRPr="00AD24C2">
              <w:rPr>
                <w:rFonts w:eastAsia="Times New Roman" w:cs="Arial"/>
                <w:b/>
                <w:sz w:val="20"/>
                <w:szCs w:val="20"/>
                <w:lang w:eastAsia="et-EE"/>
              </w:rPr>
              <w:t>,</w:t>
            </w:r>
            <w:r w:rsidR="002224D2" w:rsidRPr="00AD24C2">
              <w:rPr>
                <w:rFonts w:eastAsia="Times New Roman" w:cs="Arial"/>
                <w:b/>
                <w:sz w:val="20"/>
                <w:szCs w:val="20"/>
                <w:lang w:eastAsia="et-EE"/>
              </w:rPr>
              <w:t>4</w:t>
            </w:r>
            <w:r w:rsidR="00DE367D" w:rsidRPr="00AD24C2">
              <w:rPr>
                <w:rFonts w:eastAsia="Times New Roman" w:cs="Arial"/>
                <w:b/>
                <w:sz w:val="20"/>
                <w:szCs w:val="20"/>
                <w:lang w:eastAsia="et-EE"/>
              </w:rPr>
              <w:t>%)</w:t>
            </w:r>
          </w:p>
        </w:tc>
      </w:tr>
      <w:tr w:rsidR="00657B60" w:rsidRPr="00AD24C2" w14:paraId="2783AD5F" w14:textId="77777777">
        <w:tc>
          <w:tcPr>
            <w:tcW w:w="1535" w:type="dxa"/>
            <w:shd w:val="clear" w:color="auto" w:fill="auto"/>
          </w:tcPr>
          <w:p w14:paraId="720AC526" w14:textId="77777777" w:rsidR="00657B60" w:rsidRPr="00AD24C2" w:rsidRDefault="006A17A0">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 xml:space="preserve">Ravimid </w:t>
            </w:r>
          </w:p>
        </w:tc>
        <w:tc>
          <w:tcPr>
            <w:tcW w:w="1535" w:type="dxa"/>
            <w:shd w:val="clear" w:color="auto" w:fill="auto"/>
          </w:tcPr>
          <w:p w14:paraId="223A3C31" w14:textId="77777777" w:rsidR="00657B60" w:rsidRPr="00AD24C2" w:rsidRDefault="009B7FDB">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187</w:t>
            </w:r>
          </w:p>
        </w:tc>
        <w:tc>
          <w:tcPr>
            <w:tcW w:w="1535" w:type="dxa"/>
            <w:shd w:val="clear" w:color="auto" w:fill="auto"/>
          </w:tcPr>
          <w:p w14:paraId="2F23E12B" w14:textId="77777777" w:rsidR="00657B60" w:rsidRPr="00AD24C2" w:rsidRDefault="009B7FDB" w:rsidP="009B7FDB">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150</w:t>
            </w:r>
            <w:r w:rsidR="006A17A0" w:rsidRPr="00AD24C2">
              <w:rPr>
                <w:rFonts w:eastAsia="Times New Roman" w:cs="Arial"/>
                <w:sz w:val="20"/>
                <w:szCs w:val="20"/>
                <w:lang w:eastAsia="et-EE"/>
              </w:rPr>
              <w:t xml:space="preserve"> (</w:t>
            </w:r>
            <w:r w:rsidRPr="00AD24C2">
              <w:rPr>
                <w:rFonts w:eastAsia="Times New Roman" w:cs="Arial"/>
                <w:sz w:val="20"/>
                <w:szCs w:val="20"/>
                <w:lang w:eastAsia="et-EE"/>
              </w:rPr>
              <w:t>80</w:t>
            </w:r>
            <w:r w:rsidR="006A17A0" w:rsidRPr="00AD24C2">
              <w:rPr>
                <w:rFonts w:eastAsia="Times New Roman" w:cs="Arial"/>
                <w:sz w:val="20"/>
                <w:szCs w:val="20"/>
                <w:lang w:eastAsia="et-EE"/>
              </w:rPr>
              <w:t>,</w:t>
            </w:r>
            <w:r w:rsidRPr="00AD24C2">
              <w:rPr>
                <w:rFonts w:eastAsia="Times New Roman" w:cs="Arial"/>
                <w:sz w:val="20"/>
                <w:szCs w:val="20"/>
                <w:lang w:eastAsia="et-EE"/>
              </w:rPr>
              <w:t>2</w:t>
            </w:r>
            <w:r w:rsidR="006A17A0" w:rsidRPr="00AD24C2">
              <w:rPr>
                <w:rFonts w:eastAsia="Times New Roman" w:cs="Arial"/>
                <w:sz w:val="20"/>
                <w:szCs w:val="20"/>
                <w:lang w:eastAsia="et-EE"/>
              </w:rPr>
              <w:t>%)</w:t>
            </w:r>
          </w:p>
        </w:tc>
        <w:tc>
          <w:tcPr>
            <w:tcW w:w="1535" w:type="dxa"/>
            <w:shd w:val="clear" w:color="auto" w:fill="auto"/>
          </w:tcPr>
          <w:p w14:paraId="0E81FF66" w14:textId="77777777" w:rsidR="00657B60" w:rsidRPr="00AD24C2" w:rsidRDefault="00D6458E">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522</w:t>
            </w:r>
          </w:p>
        </w:tc>
        <w:tc>
          <w:tcPr>
            <w:tcW w:w="1536" w:type="dxa"/>
            <w:shd w:val="clear" w:color="auto" w:fill="auto"/>
          </w:tcPr>
          <w:p w14:paraId="2C2F9830" w14:textId="77777777" w:rsidR="00657B60" w:rsidRPr="00AD24C2" w:rsidRDefault="00D6458E" w:rsidP="00D6458E">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287</w:t>
            </w:r>
            <w:r w:rsidR="006A17A0" w:rsidRPr="00AD24C2">
              <w:rPr>
                <w:rFonts w:eastAsia="Times New Roman" w:cs="Arial"/>
                <w:sz w:val="20"/>
                <w:szCs w:val="20"/>
                <w:lang w:eastAsia="et-EE"/>
              </w:rPr>
              <w:t xml:space="preserve"> (55%)</w:t>
            </w:r>
          </w:p>
        </w:tc>
        <w:tc>
          <w:tcPr>
            <w:tcW w:w="1536" w:type="dxa"/>
            <w:shd w:val="clear" w:color="auto" w:fill="auto"/>
          </w:tcPr>
          <w:p w14:paraId="38EE42C1" w14:textId="77777777" w:rsidR="00657B60" w:rsidRPr="00AD24C2" w:rsidRDefault="00D6458E" w:rsidP="00C53204">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235</w:t>
            </w:r>
            <w:r w:rsidR="00DE367D" w:rsidRPr="00AD24C2">
              <w:rPr>
                <w:rFonts w:eastAsia="Times New Roman" w:cs="Arial"/>
                <w:sz w:val="20"/>
                <w:szCs w:val="20"/>
                <w:lang w:eastAsia="et-EE"/>
              </w:rPr>
              <w:t xml:space="preserve"> (4</w:t>
            </w:r>
            <w:r w:rsidR="00C53204" w:rsidRPr="00AD24C2">
              <w:rPr>
                <w:rFonts w:eastAsia="Times New Roman" w:cs="Arial"/>
                <w:sz w:val="20"/>
                <w:szCs w:val="20"/>
                <w:lang w:eastAsia="et-EE"/>
              </w:rPr>
              <w:t>5</w:t>
            </w:r>
            <w:r w:rsidR="00DE367D" w:rsidRPr="00AD24C2">
              <w:rPr>
                <w:rFonts w:eastAsia="Times New Roman" w:cs="Arial"/>
                <w:sz w:val="20"/>
                <w:szCs w:val="20"/>
                <w:lang w:eastAsia="et-EE"/>
              </w:rPr>
              <w:t>%)</w:t>
            </w:r>
          </w:p>
        </w:tc>
      </w:tr>
      <w:tr w:rsidR="00657B60" w:rsidRPr="00AD24C2" w14:paraId="0F67A2AB" w14:textId="77777777">
        <w:tc>
          <w:tcPr>
            <w:tcW w:w="1535" w:type="dxa"/>
            <w:shd w:val="clear" w:color="auto" w:fill="auto"/>
          </w:tcPr>
          <w:p w14:paraId="019EE564" w14:textId="77777777" w:rsidR="00657B60" w:rsidRPr="00AD24C2" w:rsidRDefault="006A17A0">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Vaktsiinid</w:t>
            </w:r>
          </w:p>
        </w:tc>
        <w:tc>
          <w:tcPr>
            <w:tcW w:w="1535" w:type="dxa"/>
            <w:shd w:val="clear" w:color="auto" w:fill="auto"/>
          </w:tcPr>
          <w:p w14:paraId="47D2D291" w14:textId="77777777" w:rsidR="00657B60" w:rsidRPr="00AD24C2" w:rsidRDefault="00314B00">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42</w:t>
            </w:r>
          </w:p>
        </w:tc>
        <w:tc>
          <w:tcPr>
            <w:tcW w:w="1535" w:type="dxa"/>
            <w:shd w:val="clear" w:color="auto" w:fill="auto"/>
          </w:tcPr>
          <w:p w14:paraId="7DE4E914" w14:textId="77777777" w:rsidR="00657B60" w:rsidRPr="00AD24C2" w:rsidRDefault="002224D2" w:rsidP="002224D2">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7</w:t>
            </w:r>
            <w:r w:rsidR="006A17A0" w:rsidRPr="00AD24C2">
              <w:rPr>
                <w:rFonts w:eastAsia="Times New Roman" w:cs="Arial"/>
                <w:sz w:val="20"/>
                <w:szCs w:val="20"/>
                <w:lang w:eastAsia="et-EE"/>
              </w:rPr>
              <w:t xml:space="preserve"> (</w:t>
            </w:r>
            <w:r w:rsidRPr="00AD24C2">
              <w:rPr>
                <w:rFonts w:eastAsia="Times New Roman" w:cs="Arial"/>
                <w:sz w:val="20"/>
                <w:szCs w:val="20"/>
                <w:lang w:eastAsia="et-EE"/>
              </w:rPr>
              <w:t>16</w:t>
            </w:r>
            <w:r w:rsidR="009B7FDB" w:rsidRPr="00AD24C2">
              <w:rPr>
                <w:rFonts w:eastAsia="Times New Roman" w:cs="Arial"/>
                <w:sz w:val="20"/>
                <w:szCs w:val="20"/>
                <w:lang w:eastAsia="et-EE"/>
              </w:rPr>
              <w:t>,</w:t>
            </w:r>
            <w:r w:rsidRPr="00AD24C2">
              <w:rPr>
                <w:rFonts w:eastAsia="Times New Roman" w:cs="Arial"/>
                <w:sz w:val="20"/>
                <w:szCs w:val="20"/>
                <w:lang w:eastAsia="et-EE"/>
              </w:rPr>
              <w:t>7</w:t>
            </w:r>
            <w:r w:rsidR="006A17A0" w:rsidRPr="00AD24C2">
              <w:rPr>
                <w:rFonts w:eastAsia="Times New Roman" w:cs="Arial"/>
                <w:sz w:val="20"/>
                <w:szCs w:val="20"/>
                <w:lang w:eastAsia="et-EE"/>
              </w:rPr>
              <w:t>%)</w:t>
            </w:r>
          </w:p>
        </w:tc>
        <w:tc>
          <w:tcPr>
            <w:tcW w:w="1535" w:type="dxa"/>
            <w:shd w:val="clear" w:color="auto" w:fill="auto"/>
          </w:tcPr>
          <w:p w14:paraId="51CE98DA" w14:textId="77777777" w:rsidR="00657B60" w:rsidRPr="00AD24C2" w:rsidRDefault="00D6458E" w:rsidP="002224D2">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1</w:t>
            </w:r>
            <w:r w:rsidR="002224D2" w:rsidRPr="00AD24C2">
              <w:rPr>
                <w:rFonts w:eastAsia="Times New Roman" w:cs="Arial"/>
                <w:sz w:val="20"/>
                <w:szCs w:val="20"/>
                <w:lang w:eastAsia="et-EE"/>
              </w:rPr>
              <w:t>55</w:t>
            </w:r>
          </w:p>
        </w:tc>
        <w:tc>
          <w:tcPr>
            <w:tcW w:w="1536" w:type="dxa"/>
            <w:shd w:val="clear" w:color="auto" w:fill="auto"/>
          </w:tcPr>
          <w:p w14:paraId="7DCAD54F" w14:textId="77777777" w:rsidR="00657B60" w:rsidRPr="00AD24C2" w:rsidRDefault="00D6458E" w:rsidP="00F55110">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8</w:t>
            </w:r>
            <w:r w:rsidR="006A17A0" w:rsidRPr="00AD24C2">
              <w:rPr>
                <w:rFonts w:eastAsia="Times New Roman" w:cs="Arial"/>
                <w:sz w:val="20"/>
                <w:szCs w:val="20"/>
                <w:lang w:eastAsia="et-EE"/>
              </w:rPr>
              <w:t xml:space="preserve"> (</w:t>
            </w:r>
            <w:r w:rsidRPr="00AD24C2">
              <w:rPr>
                <w:rFonts w:eastAsia="Times New Roman" w:cs="Arial"/>
                <w:sz w:val="20"/>
                <w:szCs w:val="20"/>
                <w:lang w:eastAsia="et-EE"/>
              </w:rPr>
              <w:t>5</w:t>
            </w:r>
            <w:r w:rsidR="006A17A0" w:rsidRPr="00AD24C2">
              <w:rPr>
                <w:rFonts w:eastAsia="Times New Roman" w:cs="Arial"/>
                <w:sz w:val="20"/>
                <w:szCs w:val="20"/>
                <w:lang w:eastAsia="et-EE"/>
              </w:rPr>
              <w:t>,</w:t>
            </w:r>
            <w:r w:rsidR="00F55110" w:rsidRPr="00AD24C2">
              <w:rPr>
                <w:rFonts w:eastAsia="Times New Roman" w:cs="Arial"/>
                <w:sz w:val="20"/>
                <w:szCs w:val="20"/>
                <w:lang w:eastAsia="et-EE"/>
              </w:rPr>
              <w:t>2</w:t>
            </w:r>
            <w:r w:rsidR="006A17A0" w:rsidRPr="00AD24C2">
              <w:rPr>
                <w:rFonts w:eastAsia="Times New Roman" w:cs="Arial"/>
                <w:sz w:val="20"/>
                <w:szCs w:val="20"/>
                <w:lang w:eastAsia="et-EE"/>
              </w:rPr>
              <w:t>%)</w:t>
            </w:r>
          </w:p>
        </w:tc>
        <w:tc>
          <w:tcPr>
            <w:tcW w:w="1536" w:type="dxa"/>
            <w:shd w:val="clear" w:color="auto" w:fill="auto"/>
          </w:tcPr>
          <w:p w14:paraId="69662A0A" w14:textId="77777777" w:rsidR="00657B60" w:rsidRPr="00AD24C2" w:rsidRDefault="00C53204" w:rsidP="00F55110">
            <w:pPr>
              <w:spacing w:before="100" w:beforeAutospacing="1" w:after="100" w:afterAutospacing="1" w:line="336" w:lineRule="auto"/>
              <w:rPr>
                <w:rFonts w:eastAsia="Times New Roman" w:cs="Arial"/>
                <w:sz w:val="20"/>
                <w:szCs w:val="20"/>
                <w:lang w:eastAsia="et-EE"/>
              </w:rPr>
            </w:pPr>
            <w:r w:rsidRPr="00AD24C2">
              <w:rPr>
                <w:rFonts w:eastAsia="Times New Roman" w:cs="Arial"/>
                <w:sz w:val="20"/>
                <w:szCs w:val="20"/>
                <w:lang w:eastAsia="et-EE"/>
              </w:rPr>
              <w:t>1</w:t>
            </w:r>
            <w:r w:rsidR="00F55110" w:rsidRPr="00AD24C2">
              <w:rPr>
                <w:rFonts w:eastAsia="Times New Roman" w:cs="Arial"/>
                <w:sz w:val="20"/>
                <w:szCs w:val="20"/>
                <w:lang w:eastAsia="et-EE"/>
              </w:rPr>
              <w:t>47</w:t>
            </w:r>
            <w:r w:rsidR="00DE367D" w:rsidRPr="00AD24C2">
              <w:rPr>
                <w:rFonts w:eastAsia="Times New Roman" w:cs="Arial"/>
                <w:sz w:val="20"/>
                <w:szCs w:val="20"/>
                <w:lang w:eastAsia="et-EE"/>
              </w:rPr>
              <w:t xml:space="preserve"> (</w:t>
            </w:r>
            <w:r w:rsidRPr="00AD24C2">
              <w:rPr>
                <w:rFonts w:eastAsia="Times New Roman" w:cs="Arial"/>
                <w:sz w:val="20"/>
                <w:szCs w:val="20"/>
                <w:lang w:eastAsia="et-EE"/>
              </w:rPr>
              <w:t>94</w:t>
            </w:r>
            <w:r w:rsidR="00DE367D" w:rsidRPr="00AD24C2">
              <w:rPr>
                <w:rFonts w:eastAsia="Times New Roman" w:cs="Arial"/>
                <w:sz w:val="20"/>
                <w:szCs w:val="20"/>
                <w:lang w:eastAsia="et-EE"/>
              </w:rPr>
              <w:t>,</w:t>
            </w:r>
            <w:r w:rsidR="00F55110" w:rsidRPr="00AD24C2">
              <w:rPr>
                <w:rFonts w:eastAsia="Times New Roman" w:cs="Arial"/>
                <w:sz w:val="20"/>
                <w:szCs w:val="20"/>
                <w:lang w:eastAsia="et-EE"/>
              </w:rPr>
              <w:t>8</w:t>
            </w:r>
            <w:r w:rsidR="00DE367D" w:rsidRPr="00AD24C2">
              <w:rPr>
                <w:rFonts w:eastAsia="Times New Roman" w:cs="Arial"/>
                <w:sz w:val="20"/>
                <w:szCs w:val="20"/>
                <w:lang w:eastAsia="et-EE"/>
              </w:rPr>
              <w:t>%)</w:t>
            </w:r>
          </w:p>
        </w:tc>
      </w:tr>
    </w:tbl>
    <w:p w14:paraId="15D83637" w14:textId="77777777" w:rsidR="00657B60" w:rsidRPr="00BD662F" w:rsidRDefault="006A17A0">
      <w:pPr>
        <w:spacing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*Ü</w:t>
      </w:r>
      <w:r w:rsidR="004F7A28" w:rsidRPr="00BD662F">
        <w:rPr>
          <w:rFonts w:eastAsia="Times New Roman" w:cs="Arial"/>
          <w:color w:val="2B3244"/>
          <w:lang w:eastAsia="et-EE"/>
        </w:rPr>
        <w:t>hes</w:t>
      </w:r>
      <w:r w:rsidRPr="00BD662F">
        <w:rPr>
          <w:rFonts w:eastAsia="Times New Roman" w:cs="Arial"/>
          <w:color w:val="2B3244"/>
          <w:lang w:eastAsia="et-EE"/>
        </w:rPr>
        <w:t xml:space="preserve"> teatis</w:t>
      </w:r>
      <w:r w:rsidR="004F7A28" w:rsidRPr="00BD662F">
        <w:rPr>
          <w:rFonts w:eastAsia="Times New Roman" w:cs="Arial"/>
          <w:color w:val="2B3244"/>
          <w:lang w:eastAsia="et-EE"/>
        </w:rPr>
        <w:t>es</w:t>
      </w:r>
      <w:r w:rsidRPr="00BD662F">
        <w:rPr>
          <w:rFonts w:eastAsia="Times New Roman" w:cs="Arial"/>
          <w:color w:val="2B3244"/>
          <w:lang w:eastAsia="et-EE"/>
        </w:rPr>
        <w:t xml:space="preserve"> kirjelda</w:t>
      </w:r>
      <w:r w:rsidR="004F7A28" w:rsidRPr="00BD662F">
        <w:rPr>
          <w:rFonts w:eastAsia="Times New Roman" w:cs="Arial"/>
          <w:color w:val="2B3244"/>
          <w:lang w:eastAsia="et-EE"/>
        </w:rPr>
        <w:t>takse</w:t>
      </w:r>
      <w:r w:rsidRPr="00BD662F">
        <w:rPr>
          <w:rFonts w:eastAsia="Times New Roman" w:cs="Arial"/>
          <w:color w:val="2B3244"/>
          <w:lang w:eastAsia="et-EE"/>
        </w:rPr>
        <w:t xml:space="preserve"> sageli mitut kõrvaltoimet.</w:t>
      </w:r>
    </w:p>
    <w:p w14:paraId="22A4A962" w14:textId="77777777" w:rsidR="00657B60" w:rsidRPr="00BD662F" w:rsidRDefault="006A17A0">
      <w:pPr>
        <w:spacing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Tõsisteks kõrvaltoimeteks liigitakse järgmised reaktsioonid:</w:t>
      </w:r>
    </w:p>
    <w:p w14:paraId="2202E06E"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lastRenderedPageBreak/>
        <w:t xml:space="preserve">ravimitest põhjustatud surmajuhtumid, </w:t>
      </w:r>
    </w:p>
    <w:p w14:paraId="6368AEE8"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eluohtlikud reaktsioonid ravimite manustamisel (termin „eluohtlik“ tähendab antud juhul seda, et reaktsiooni ajal oli patsiendi seisund eluohtlik, mitte et reaktsioon võiks hüpoteetiliselt olla eluohtlik, kui ta oleks tõsisem), </w:t>
      </w:r>
    </w:p>
    <w:p w14:paraId="420AD70B"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püsivaid tervisehäireid tekitanud reaktsioonid ja kõrvaltoimed (sh invaliidsus), </w:t>
      </w:r>
    </w:p>
    <w:p w14:paraId="34E895E4"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töövõimetust põhjustanud ravimite kõrvaltoimed, </w:t>
      </w:r>
    </w:p>
    <w:p w14:paraId="59CB1DF3"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haiglaravi vajanud või seda pikendanud reaktsioonid ravimitele, </w:t>
      </w:r>
    </w:p>
    <w:p w14:paraId="6048D01D"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haiguse kestust ja kulgu mõjutanud kõrvaltoimed, </w:t>
      </w:r>
    </w:p>
    <w:p w14:paraId="6464C465"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ravimite koostoimetest tingitud reaktsioonid, </w:t>
      </w:r>
    </w:p>
    <w:p w14:paraId="08CF4B0F"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ravimitest põhjustatud väärarengud, </w:t>
      </w:r>
    </w:p>
    <w:p w14:paraId="137F354D"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 xml:space="preserve">ravimsõltuvuse teke, </w:t>
      </w:r>
    </w:p>
    <w:p w14:paraId="122C7CF4" w14:textId="77777777" w:rsidR="00657B60" w:rsidRPr="00BD662F" w:rsidRDefault="006A17A0">
      <w:pPr>
        <w:numPr>
          <w:ilvl w:val="0"/>
          <w:numId w:val="2"/>
        </w:num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muud tõsised või meditsiiniliselt olulised reaktsioonid ravimitele.</w:t>
      </w:r>
    </w:p>
    <w:p w14:paraId="4FC25609" w14:textId="77777777" w:rsidR="00657B60" w:rsidRPr="008500AB" w:rsidRDefault="006A17A0">
      <w:pPr>
        <w:spacing w:before="100" w:beforeAutospacing="1" w:after="100" w:afterAutospacing="1" w:line="336" w:lineRule="auto"/>
        <w:rPr>
          <w:rFonts w:eastAsia="Times New Roman" w:cs="Arial"/>
          <w:b/>
          <w:color w:val="2B3244"/>
          <w:sz w:val="24"/>
          <w:szCs w:val="24"/>
          <w:lang w:eastAsia="et-EE"/>
        </w:rPr>
      </w:pPr>
      <w:r w:rsidRPr="008500AB">
        <w:rPr>
          <w:rFonts w:eastAsia="Times New Roman" w:cs="Arial"/>
          <w:b/>
          <w:bCs/>
          <w:color w:val="2B3244"/>
          <w:sz w:val="24"/>
          <w:szCs w:val="24"/>
          <w:lang w:eastAsia="et-EE"/>
        </w:rPr>
        <w:t>Kõrvaltoime ja ravimi vaheline seos</w:t>
      </w:r>
    </w:p>
    <w:p w14:paraId="6D6B765A" w14:textId="77777777" w:rsidR="00657B60" w:rsidRPr="00BD662F" w:rsidRDefault="006A17A0">
      <w:pPr>
        <w:spacing w:before="100" w:beforeAutospacing="1" w:after="100" w:afterAutospacing="1" w:line="336" w:lineRule="auto"/>
        <w:rPr>
          <w:rFonts w:eastAsia="Times New Roman" w:cs="Arial"/>
          <w:b/>
          <w:color w:val="2B3244"/>
          <w:lang w:eastAsia="et-EE"/>
        </w:rPr>
      </w:pPr>
      <w:r w:rsidRPr="00BD662F">
        <w:rPr>
          <w:rFonts w:eastAsia="Times New Roman" w:cs="Arial"/>
          <w:b/>
          <w:color w:val="2B3244"/>
          <w:lang w:eastAsia="et-EE"/>
        </w:rPr>
        <w:t>Seos ravimiga võimalik</w:t>
      </w:r>
    </w:p>
    <w:p w14:paraId="4EA847CA" w14:textId="77777777" w:rsidR="00657B60" w:rsidRPr="00BD662F" w:rsidRDefault="006A17A0">
      <w:p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Ravimiametile laekunud teatisi hinnati Maailma Terviseorganisatsiooni (WHO) kriteeriumidele* vastavalt. </w:t>
      </w:r>
      <w:r w:rsidR="00D464A9" w:rsidRPr="00BD662F">
        <w:rPr>
          <w:rFonts w:eastAsia="Times New Roman" w:cs="Arial"/>
          <w:lang w:eastAsia="et-EE"/>
        </w:rPr>
        <w:t>229</w:t>
      </w:r>
      <w:r w:rsidRPr="00BD662F">
        <w:rPr>
          <w:rFonts w:eastAsia="Times New Roman" w:cs="Arial"/>
          <w:lang w:eastAsia="et-EE"/>
        </w:rPr>
        <w:t xml:space="preserve"> teatisest </w:t>
      </w:r>
      <w:r w:rsidR="00D464A9" w:rsidRPr="00BD662F">
        <w:rPr>
          <w:rFonts w:eastAsia="Times New Roman" w:cs="Arial"/>
          <w:lang w:eastAsia="et-EE"/>
        </w:rPr>
        <w:t>181</w:t>
      </w:r>
      <w:r w:rsidRPr="00BD662F">
        <w:rPr>
          <w:rFonts w:eastAsia="Times New Roman" w:cs="Arial"/>
          <w:lang w:eastAsia="et-EE"/>
        </w:rPr>
        <w:t xml:space="preserve"> puhul oli seos ravimiga võimalik:</w:t>
      </w:r>
    </w:p>
    <w:p w14:paraId="28D6FC35" w14:textId="77777777" w:rsidR="00657B60" w:rsidRPr="00BD662F" w:rsidRDefault="006A17A0">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3 puhul oli seos ravimiga kindel</w:t>
      </w:r>
    </w:p>
    <w:p w14:paraId="5A963F57" w14:textId="77777777" w:rsidR="00657B60" w:rsidRPr="00BD662F" w:rsidRDefault="00D464A9">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57</w:t>
      </w:r>
      <w:r w:rsidR="006A17A0" w:rsidRPr="00BD662F">
        <w:rPr>
          <w:rFonts w:eastAsia="Times New Roman" w:cs="Arial"/>
          <w:lang w:eastAsia="et-EE"/>
        </w:rPr>
        <w:t xml:space="preserve"> puhul oli seos ravimiga tõenäoline</w:t>
      </w:r>
    </w:p>
    <w:p w14:paraId="5108CE63" w14:textId="77777777" w:rsidR="00657B60" w:rsidRPr="00BD662F" w:rsidRDefault="00D464A9">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121</w:t>
      </w:r>
      <w:r w:rsidR="006A17A0" w:rsidRPr="00BD662F">
        <w:rPr>
          <w:rFonts w:eastAsia="Times New Roman" w:cs="Arial"/>
          <w:lang w:eastAsia="et-EE"/>
        </w:rPr>
        <w:t xml:space="preserve"> puhul oli seos ravimiga võimalik</w:t>
      </w:r>
    </w:p>
    <w:p w14:paraId="59E28760" w14:textId="77777777" w:rsidR="00657B60" w:rsidRPr="00BD662F" w:rsidRDefault="006A17A0">
      <w:pPr>
        <w:spacing w:before="100" w:beforeAutospacing="1" w:after="100" w:afterAutospacing="1" w:line="336" w:lineRule="auto"/>
        <w:rPr>
          <w:rFonts w:eastAsia="Times New Roman" w:cs="Arial"/>
          <w:b/>
          <w:color w:val="2B3244"/>
          <w:lang w:eastAsia="et-EE"/>
        </w:rPr>
      </w:pPr>
      <w:r w:rsidRPr="00BD662F">
        <w:rPr>
          <w:rFonts w:eastAsia="Times New Roman" w:cs="Arial"/>
          <w:b/>
          <w:color w:val="2B3244"/>
          <w:lang w:eastAsia="et-EE"/>
        </w:rPr>
        <w:t>Seos ravimiga ebatõenäoline</w:t>
      </w:r>
    </w:p>
    <w:p w14:paraId="62705ECA" w14:textId="77777777" w:rsidR="00657B60" w:rsidRPr="00BD662F" w:rsidRDefault="006A17A0">
      <w:p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Ülejäänud </w:t>
      </w:r>
      <w:r w:rsidR="00D464A9" w:rsidRPr="00BD662F">
        <w:rPr>
          <w:rFonts w:eastAsia="Times New Roman" w:cs="Arial"/>
          <w:lang w:eastAsia="et-EE"/>
        </w:rPr>
        <w:t>48</w:t>
      </w:r>
      <w:r w:rsidRPr="00BD662F">
        <w:rPr>
          <w:rFonts w:eastAsia="Times New Roman" w:cs="Arial"/>
          <w:lang w:eastAsia="et-EE"/>
        </w:rPr>
        <w:t xml:space="preserve"> teatise puhul oli seos ravimiga ebatõenäoline</w:t>
      </w:r>
      <w:r w:rsidR="00331FF9" w:rsidRPr="00BD662F">
        <w:rPr>
          <w:rFonts w:eastAsia="Times New Roman" w:cs="Arial"/>
          <w:lang w:eastAsia="et-EE"/>
        </w:rPr>
        <w:t>,</w:t>
      </w:r>
      <w:r w:rsidRPr="00BD662F">
        <w:rPr>
          <w:rFonts w:eastAsia="Times New Roman" w:cs="Arial"/>
          <w:lang w:eastAsia="et-EE"/>
        </w:rPr>
        <w:t xml:space="preserve"> seos puudu</w:t>
      </w:r>
      <w:r w:rsidR="00EB2EE0" w:rsidRPr="00BD662F">
        <w:rPr>
          <w:rFonts w:eastAsia="Times New Roman" w:cs="Arial"/>
          <w:lang w:eastAsia="et-EE"/>
        </w:rPr>
        <w:t>s</w:t>
      </w:r>
      <w:r w:rsidR="00331FF9" w:rsidRPr="00BD662F">
        <w:rPr>
          <w:rFonts w:eastAsia="Times New Roman" w:cs="Arial"/>
          <w:lang w:eastAsia="et-EE"/>
        </w:rPr>
        <w:t xml:space="preserve"> või olid teatise</w:t>
      </w:r>
      <w:r w:rsidR="004F77C9" w:rsidRPr="00BD662F">
        <w:rPr>
          <w:rFonts w:eastAsia="Times New Roman" w:cs="Arial"/>
          <w:lang w:eastAsia="et-EE"/>
        </w:rPr>
        <w:t>l</w:t>
      </w:r>
      <w:r w:rsidR="00331FF9" w:rsidRPr="00BD662F">
        <w:rPr>
          <w:rFonts w:eastAsia="Times New Roman" w:cs="Arial"/>
          <w:lang w:eastAsia="et-EE"/>
        </w:rPr>
        <w:t xml:space="preserve"> andmed puudulikud</w:t>
      </w:r>
      <w:r w:rsidRPr="00BD662F">
        <w:rPr>
          <w:rFonts w:eastAsia="Times New Roman" w:cs="Arial"/>
          <w:lang w:eastAsia="et-EE"/>
        </w:rPr>
        <w:t>, mistõttu need teatised on edasisest kokkuvõttest välja jäetud:</w:t>
      </w:r>
    </w:p>
    <w:p w14:paraId="0BF16153" w14:textId="77777777" w:rsidR="00657B60" w:rsidRPr="00BD662F" w:rsidRDefault="00AD24C2">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6 juhul</w:t>
      </w:r>
      <w:r w:rsidR="006A17A0" w:rsidRPr="00BD662F">
        <w:rPr>
          <w:rFonts w:eastAsia="Times New Roman" w:cs="Arial"/>
          <w:lang w:eastAsia="et-EE"/>
        </w:rPr>
        <w:t xml:space="preserve"> oli seos ravimiga ebatõenäoline</w:t>
      </w:r>
      <w:r w:rsidRPr="00BD662F">
        <w:rPr>
          <w:rFonts w:eastAsia="Times New Roman" w:cs="Arial"/>
          <w:lang w:eastAsia="et-EE"/>
        </w:rPr>
        <w:t xml:space="preserve">; </w:t>
      </w:r>
      <w:r w:rsidR="006A17A0" w:rsidRPr="00BD662F">
        <w:rPr>
          <w:rFonts w:eastAsia="Times New Roman" w:cs="Arial"/>
          <w:lang w:eastAsia="et-EE"/>
        </w:rPr>
        <w:t xml:space="preserve"> </w:t>
      </w:r>
    </w:p>
    <w:p w14:paraId="462F5CE2" w14:textId="77777777" w:rsidR="00657B60" w:rsidRPr="00BD662F" w:rsidRDefault="00D464A9">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25</w:t>
      </w:r>
      <w:r w:rsidR="006A17A0" w:rsidRPr="00BD662F">
        <w:rPr>
          <w:rFonts w:eastAsia="Times New Roman" w:cs="Arial"/>
          <w:lang w:eastAsia="et-EE"/>
        </w:rPr>
        <w:t xml:space="preserve"> juhul ei olnud juhtum ravimiga seotud</w:t>
      </w:r>
      <w:r w:rsidR="00AD24C2" w:rsidRPr="00BD662F">
        <w:rPr>
          <w:rFonts w:eastAsia="Times New Roman" w:cs="Arial"/>
          <w:lang w:eastAsia="et-EE"/>
        </w:rPr>
        <w:t xml:space="preserve">; </w:t>
      </w:r>
    </w:p>
    <w:p w14:paraId="220B18A1" w14:textId="77777777" w:rsidR="00657B60" w:rsidRPr="00BD662F" w:rsidRDefault="00D464A9">
      <w:pPr>
        <w:numPr>
          <w:ilvl w:val="0"/>
          <w:numId w:val="3"/>
        </w:numPr>
        <w:spacing w:before="100" w:beforeAutospacing="1" w:after="100" w:afterAutospacing="1" w:line="336" w:lineRule="auto"/>
        <w:rPr>
          <w:rFonts w:eastAsia="Times New Roman" w:cs="Arial"/>
          <w:lang w:eastAsia="et-EE"/>
        </w:rPr>
      </w:pPr>
      <w:r w:rsidRPr="00BD662F">
        <w:rPr>
          <w:rFonts w:eastAsia="Times New Roman" w:cs="Arial"/>
          <w:lang w:eastAsia="et-EE"/>
        </w:rPr>
        <w:t>17</w:t>
      </w:r>
      <w:r w:rsidR="006A17A0" w:rsidRPr="00BD662F">
        <w:rPr>
          <w:rFonts w:eastAsia="Times New Roman" w:cs="Arial"/>
          <w:lang w:eastAsia="et-EE"/>
        </w:rPr>
        <w:t xml:space="preserve"> juhul ei saanud juhtumit hinnata, sest puudus </w:t>
      </w:r>
      <w:r w:rsidR="00AD24C2" w:rsidRPr="00BD662F">
        <w:rPr>
          <w:rFonts w:eastAsia="Times New Roman" w:cs="Arial"/>
          <w:lang w:eastAsia="et-EE"/>
        </w:rPr>
        <w:t xml:space="preserve">seose hindamiseks vajalik </w:t>
      </w:r>
      <w:r w:rsidR="006A17A0" w:rsidRPr="00BD662F">
        <w:rPr>
          <w:rFonts w:eastAsia="Times New Roman" w:cs="Arial"/>
          <w:lang w:eastAsia="et-EE"/>
        </w:rPr>
        <w:t xml:space="preserve">minimaalne </w:t>
      </w:r>
      <w:r w:rsidR="00AD24C2" w:rsidRPr="00BD662F">
        <w:rPr>
          <w:rFonts w:eastAsia="Times New Roman" w:cs="Arial"/>
          <w:lang w:eastAsia="et-EE"/>
        </w:rPr>
        <w:t xml:space="preserve">teave. </w:t>
      </w:r>
      <w:r w:rsidR="006A17A0" w:rsidRPr="00BD662F">
        <w:rPr>
          <w:rFonts w:eastAsia="Times New Roman" w:cs="Arial"/>
          <w:lang w:eastAsia="et-EE"/>
        </w:rPr>
        <w:t xml:space="preserve"> </w:t>
      </w:r>
    </w:p>
    <w:p w14:paraId="1EBC99C1" w14:textId="77777777" w:rsidR="00C47C32" w:rsidRPr="00BD662F" w:rsidRDefault="00A4495F" w:rsidP="00C47C32">
      <w:pPr>
        <w:spacing w:before="100" w:beforeAutospacing="1" w:after="100" w:afterAutospacing="1" w:line="336" w:lineRule="auto"/>
        <w:ind w:left="360"/>
        <w:rPr>
          <w:rFonts w:eastAsia="Times New Roman" w:cs="Arial"/>
          <w:lang w:eastAsia="et-EE"/>
        </w:rPr>
      </w:pPr>
      <w:r w:rsidRPr="00BD662F">
        <w:rPr>
          <w:rFonts w:eastAsia="Times New Roman" w:cs="Arial"/>
          <w:color w:val="2B3244"/>
          <w:lang w:eastAsia="et-EE"/>
        </w:rPr>
        <w:t xml:space="preserve">48 </w:t>
      </w:r>
      <w:r w:rsidR="0058460C" w:rsidRPr="00BD662F">
        <w:rPr>
          <w:rFonts w:eastAsia="Times New Roman" w:cs="Arial"/>
          <w:color w:val="2B3244"/>
          <w:lang w:eastAsia="et-EE"/>
        </w:rPr>
        <w:t xml:space="preserve">teatisest, mille puhul seos reaktsiooni ja ravimi vahel on hinnatud ebatõenäoliseks või mitteseotuks, on </w:t>
      </w:r>
      <w:r w:rsidRPr="00BD662F">
        <w:rPr>
          <w:rFonts w:eastAsia="Times New Roman" w:cs="Arial"/>
          <w:color w:val="2B3244"/>
          <w:lang w:eastAsia="et-EE"/>
        </w:rPr>
        <w:t xml:space="preserve">36 </w:t>
      </w:r>
      <w:r w:rsidR="0058460C" w:rsidRPr="00BD662F">
        <w:rPr>
          <w:rFonts w:eastAsia="Times New Roman" w:cs="Arial"/>
          <w:color w:val="2B3244"/>
          <w:lang w:eastAsia="et-EE"/>
        </w:rPr>
        <w:t xml:space="preserve">teatises kirjeldatud ühte või enamat tõsist kõrvaltoimet. </w:t>
      </w:r>
      <w:r w:rsidR="00C47C32" w:rsidRPr="00BD662F">
        <w:rPr>
          <w:rFonts w:eastAsia="Times New Roman" w:cs="Arial"/>
          <w:lang w:eastAsia="et-EE"/>
        </w:rPr>
        <w:t>4 teatises kirjeldati surmaga lõppenud juhte.</w:t>
      </w:r>
    </w:p>
    <w:p w14:paraId="321C2DB7" w14:textId="77777777" w:rsidR="00FD4BF9" w:rsidRPr="008749E9" w:rsidRDefault="00FD4BF9" w:rsidP="00FD4BF9">
      <w:pPr>
        <w:pStyle w:val="ListParagraph"/>
        <w:numPr>
          <w:ilvl w:val="0"/>
          <w:numId w:val="1"/>
        </w:numPr>
        <w:spacing w:before="100" w:beforeAutospacing="1" w:after="100" w:afterAutospacing="1" w:line="336" w:lineRule="auto"/>
        <w:rPr>
          <w:rFonts w:eastAsia="Times New Roman" w:cs="Arial"/>
          <w:color w:val="2B3244"/>
          <w:sz w:val="20"/>
          <w:szCs w:val="20"/>
          <w:highlight w:val="yellow"/>
          <w:lang w:eastAsia="et-EE"/>
        </w:rPr>
      </w:pPr>
      <w:r w:rsidRPr="008749E9">
        <w:rPr>
          <w:rFonts w:eastAsia="Times New Roman" w:cs="Arial"/>
          <w:color w:val="2B3244"/>
          <w:sz w:val="20"/>
          <w:szCs w:val="20"/>
          <w:highlight w:val="yellow"/>
          <w:lang w:eastAsia="et-EE"/>
        </w:rPr>
        <w:lastRenderedPageBreak/>
        <w:t xml:space="preserve">Teadmata vanuses meespatsient sai teadmata näidustusel </w:t>
      </w:r>
      <w:proofErr w:type="spellStart"/>
      <w:r w:rsidRPr="008749E9">
        <w:rPr>
          <w:rFonts w:eastAsia="Times New Roman" w:cs="Arial"/>
          <w:color w:val="2B3244"/>
          <w:sz w:val="20"/>
          <w:szCs w:val="20"/>
          <w:highlight w:val="yellow"/>
          <w:lang w:eastAsia="et-EE"/>
        </w:rPr>
        <w:t>metoklopramiidi</w:t>
      </w:r>
      <w:proofErr w:type="spellEnd"/>
      <w:r w:rsidRPr="008749E9">
        <w:rPr>
          <w:rFonts w:eastAsia="Times New Roman" w:cs="Arial"/>
          <w:color w:val="2B3244"/>
          <w:sz w:val="20"/>
          <w:szCs w:val="20"/>
          <w:highlight w:val="yellow"/>
          <w:lang w:eastAsia="et-EE"/>
        </w:rPr>
        <w:t xml:space="preserve"> ja suri. Puudulike andmete tõttu </w:t>
      </w:r>
      <w:r>
        <w:rPr>
          <w:rFonts w:eastAsia="Times New Roman" w:cs="Arial"/>
          <w:color w:val="2B3244"/>
          <w:sz w:val="20"/>
          <w:szCs w:val="20"/>
          <w:highlight w:val="yellow"/>
          <w:lang w:eastAsia="et-EE"/>
        </w:rPr>
        <w:t xml:space="preserve">ei </w:t>
      </w:r>
      <w:r w:rsidRPr="008749E9">
        <w:rPr>
          <w:rFonts w:eastAsia="Times New Roman" w:cs="Arial"/>
          <w:color w:val="2B3244"/>
          <w:sz w:val="20"/>
          <w:szCs w:val="20"/>
          <w:highlight w:val="yellow"/>
          <w:lang w:eastAsia="et-EE"/>
        </w:rPr>
        <w:t>ole seos</w:t>
      </w:r>
      <w:r>
        <w:rPr>
          <w:rFonts w:eastAsia="Times New Roman" w:cs="Arial"/>
          <w:color w:val="2B3244"/>
          <w:sz w:val="20"/>
          <w:szCs w:val="20"/>
          <w:highlight w:val="yellow"/>
          <w:lang w:eastAsia="et-EE"/>
        </w:rPr>
        <w:t>e hindamine</w:t>
      </w:r>
      <w:r w:rsidRPr="008749E9">
        <w:rPr>
          <w:rFonts w:eastAsia="Times New Roman" w:cs="Arial"/>
          <w:color w:val="2B3244"/>
          <w:sz w:val="20"/>
          <w:szCs w:val="20"/>
          <w:highlight w:val="yellow"/>
          <w:lang w:eastAsia="et-EE"/>
        </w:rPr>
        <w:t xml:space="preserve"> võimalik. </w:t>
      </w:r>
    </w:p>
    <w:p w14:paraId="7E128A1C" w14:textId="77777777" w:rsidR="00FD4BF9" w:rsidRPr="008749E9" w:rsidRDefault="00FD4BF9" w:rsidP="00FD4BF9">
      <w:pPr>
        <w:pStyle w:val="ListParagraph"/>
        <w:numPr>
          <w:ilvl w:val="0"/>
          <w:numId w:val="1"/>
        </w:numPr>
        <w:spacing w:before="100" w:beforeAutospacing="1" w:after="100" w:afterAutospacing="1" w:line="336" w:lineRule="auto"/>
        <w:rPr>
          <w:rFonts w:eastAsia="Times New Roman" w:cs="Arial"/>
          <w:color w:val="2B3244"/>
          <w:sz w:val="20"/>
          <w:szCs w:val="20"/>
          <w:highlight w:val="yellow"/>
          <w:lang w:eastAsia="et-EE"/>
        </w:rPr>
      </w:pPr>
      <w:r w:rsidRPr="008749E9">
        <w:rPr>
          <w:rFonts w:eastAsia="Times New Roman" w:cs="Arial"/>
          <w:color w:val="2B3244"/>
          <w:sz w:val="20"/>
          <w:szCs w:val="20"/>
          <w:highlight w:val="yellow"/>
          <w:lang w:eastAsia="et-EE"/>
        </w:rPr>
        <w:t>62-aastane mees</w:t>
      </w:r>
      <w:r>
        <w:rPr>
          <w:rFonts w:eastAsia="Times New Roman" w:cs="Arial"/>
          <w:color w:val="2B3244"/>
          <w:sz w:val="20"/>
          <w:szCs w:val="20"/>
          <w:highlight w:val="yellow"/>
          <w:lang w:eastAsia="et-EE"/>
        </w:rPr>
        <w:t>patsient</w:t>
      </w:r>
      <w:r w:rsidRPr="008749E9">
        <w:rPr>
          <w:rFonts w:eastAsia="Times New Roman" w:cs="Arial"/>
          <w:color w:val="2B3244"/>
          <w:sz w:val="20"/>
          <w:szCs w:val="20"/>
          <w:highlight w:val="yellow"/>
          <w:lang w:eastAsia="et-EE"/>
        </w:rPr>
        <w:t xml:space="preserve"> sai </w:t>
      </w:r>
      <w:r>
        <w:rPr>
          <w:rFonts w:eastAsia="Times New Roman" w:cs="Arial"/>
          <w:color w:val="2B3244"/>
          <w:sz w:val="20"/>
          <w:szCs w:val="20"/>
          <w:highlight w:val="yellow"/>
          <w:lang w:eastAsia="et-EE"/>
        </w:rPr>
        <w:t>müügiloata ravimi kasutamise programmi (</w:t>
      </w:r>
      <w:proofErr w:type="spellStart"/>
      <w:r w:rsidRPr="008749E9">
        <w:rPr>
          <w:rFonts w:eastAsia="Times New Roman" w:cs="Arial"/>
          <w:i/>
          <w:color w:val="2B3244"/>
          <w:sz w:val="20"/>
          <w:szCs w:val="20"/>
          <w:highlight w:val="yellow"/>
          <w:lang w:eastAsia="et-EE"/>
        </w:rPr>
        <w:t>compassionate</w:t>
      </w:r>
      <w:proofErr w:type="spellEnd"/>
      <w:r w:rsidRPr="008749E9">
        <w:rPr>
          <w:rFonts w:eastAsia="Times New Roman" w:cs="Arial"/>
          <w:i/>
          <w:color w:val="2B3244"/>
          <w:sz w:val="20"/>
          <w:szCs w:val="20"/>
          <w:highlight w:val="yellow"/>
          <w:lang w:eastAsia="et-EE"/>
        </w:rPr>
        <w:t xml:space="preserve"> </w:t>
      </w:r>
      <w:proofErr w:type="spellStart"/>
      <w:r w:rsidRPr="008749E9">
        <w:rPr>
          <w:rFonts w:eastAsia="Times New Roman" w:cs="Arial"/>
          <w:i/>
          <w:color w:val="2B3244"/>
          <w:sz w:val="20"/>
          <w:szCs w:val="20"/>
          <w:highlight w:val="yellow"/>
          <w:lang w:eastAsia="et-EE"/>
        </w:rPr>
        <w:t>use</w:t>
      </w:r>
      <w:proofErr w:type="spellEnd"/>
      <w:r>
        <w:rPr>
          <w:rFonts w:eastAsia="Times New Roman" w:cs="Arial"/>
          <w:color w:val="2B3244"/>
          <w:sz w:val="20"/>
          <w:szCs w:val="20"/>
          <w:highlight w:val="yellow"/>
          <w:lang w:eastAsia="et-EE"/>
        </w:rPr>
        <w:t>)</w:t>
      </w:r>
      <w:r w:rsidRPr="008749E9">
        <w:rPr>
          <w:rFonts w:eastAsia="Times New Roman" w:cs="Arial"/>
          <w:color w:val="2B3244"/>
          <w:sz w:val="20"/>
          <w:szCs w:val="20"/>
          <w:highlight w:val="yellow"/>
          <w:lang w:eastAsia="et-EE"/>
        </w:rPr>
        <w:t xml:space="preserve"> käigus Philadelphia kromosoom positiivse </w:t>
      </w:r>
      <w:r w:rsidRPr="008932F0">
        <w:rPr>
          <w:rFonts w:eastAsia="Times New Roman" w:cs="Arial"/>
          <w:sz w:val="20"/>
          <w:szCs w:val="20"/>
          <w:highlight w:val="yellow"/>
          <w:lang w:eastAsia="et-EE"/>
        </w:rPr>
        <w:t xml:space="preserve">kroonilise </w:t>
      </w:r>
      <w:proofErr w:type="spellStart"/>
      <w:r w:rsidRPr="008932F0">
        <w:rPr>
          <w:rFonts w:eastAsia="Times New Roman" w:cs="Arial"/>
          <w:sz w:val="20"/>
          <w:szCs w:val="20"/>
          <w:highlight w:val="yellow"/>
          <w:lang w:eastAsia="et-EE"/>
        </w:rPr>
        <w:t>müeloidse</w:t>
      </w:r>
      <w:proofErr w:type="spellEnd"/>
      <w:r w:rsidRPr="008932F0">
        <w:rPr>
          <w:rFonts w:eastAsia="Times New Roman" w:cs="Arial"/>
          <w:sz w:val="20"/>
          <w:szCs w:val="20"/>
          <w:highlight w:val="yellow"/>
          <w:lang w:eastAsia="et-EE"/>
        </w:rPr>
        <w:t xml:space="preserve"> leukeemia (KML) raviks </w:t>
      </w:r>
      <w:proofErr w:type="spellStart"/>
      <w:r w:rsidRPr="008932F0">
        <w:rPr>
          <w:rFonts w:eastAsia="Times New Roman" w:cs="Arial"/>
          <w:sz w:val="20"/>
          <w:szCs w:val="20"/>
          <w:highlight w:val="yellow"/>
          <w:lang w:eastAsia="et-EE"/>
        </w:rPr>
        <w:t>nilotiniibi</w:t>
      </w:r>
      <w:proofErr w:type="spellEnd"/>
      <w:r w:rsidRPr="008932F0">
        <w:rPr>
          <w:rFonts w:eastAsia="Times New Roman" w:cs="Arial"/>
          <w:sz w:val="20"/>
          <w:szCs w:val="20"/>
          <w:highlight w:val="yellow"/>
          <w:lang w:eastAsia="et-EE"/>
        </w:rPr>
        <w:t xml:space="preserve">. Patsient kasutas </w:t>
      </w:r>
      <w:proofErr w:type="spellStart"/>
      <w:r w:rsidRPr="008932F0">
        <w:rPr>
          <w:rFonts w:eastAsia="Times New Roman" w:cs="Arial"/>
          <w:sz w:val="20"/>
          <w:szCs w:val="20"/>
          <w:highlight w:val="yellow"/>
          <w:lang w:eastAsia="et-EE"/>
        </w:rPr>
        <w:t>nilotiniibi</w:t>
      </w:r>
      <w:proofErr w:type="spellEnd"/>
      <w:r w:rsidRPr="008932F0">
        <w:rPr>
          <w:rFonts w:eastAsia="Times New Roman" w:cs="Arial"/>
          <w:sz w:val="20"/>
          <w:szCs w:val="20"/>
          <w:highlight w:val="yellow"/>
          <w:lang w:eastAsia="et-EE"/>
        </w:rPr>
        <w:t xml:space="preserve"> 7 aastat. Patsiendi anamneesis oli lisaks </w:t>
      </w:r>
      <w:proofErr w:type="spellStart"/>
      <w:r w:rsidRPr="008932F0">
        <w:rPr>
          <w:rFonts w:eastAsia="Times New Roman" w:cs="Arial"/>
          <w:sz w:val="20"/>
          <w:szCs w:val="20"/>
          <w:highlight w:val="yellow"/>
          <w:lang w:eastAsia="et-EE"/>
        </w:rPr>
        <w:t>Crohn'i</w:t>
      </w:r>
      <w:proofErr w:type="spellEnd"/>
      <w:r w:rsidRPr="008932F0">
        <w:rPr>
          <w:rFonts w:eastAsia="Times New Roman" w:cs="Arial"/>
          <w:sz w:val="20"/>
          <w:szCs w:val="20"/>
          <w:highlight w:val="yellow"/>
          <w:lang w:eastAsia="et-EE"/>
        </w:rPr>
        <w:t xml:space="preserve"> </w:t>
      </w:r>
      <w:r w:rsidRPr="008749E9">
        <w:rPr>
          <w:rFonts w:eastAsia="Times New Roman" w:cs="Arial"/>
          <w:color w:val="2B3244"/>
          <w:sz w:val="20"/>
          <w:szCs w:val="20"/>
          <w:highlight w:val="yellow"/>
          <w:lang w:eastAsia="et-EE"/>
        </w:rPr>
        <w:t xml:space="preserve">tõbi, ajuinfarkt, </w:t>
      </w:r>
      <w:proofErr w:type="spellStart"/>
      <w:r w:rsidRPr="008749E9">
        <w:rPr>
          <w:rFonts w:eastAsia="Times New Roman" w:cs="Arial"/>
          <w:color w:val="2B3244"/>
          <w:sz w:val="20"/>
          <w:szCs w:val="20"/>
          <w:highlight w:val="yellow"/>
          <w:lang w:eastAsia="et-EE"/>
        </w:rPr>
        <w:t>kardiovaskulaarhaigus</w:t>
      </w:r>
      <w:proofErr w:type="spellEnd"/>
      <w:r w:rsidRPr="008749E9">
        <w:rPr>
          <w:rFonts w:eastAsia="Times New Roman" w:cs="Arial"/>
          <w:color w:val="2B3244"/>
          <w:sz w:val="20"/>
          <w:szCs w:val="20"/>
          <w:highlight w:val="yellow"/>
          <w:lang w:eastAsia="et-EE"/>
        </w:rPr>
        <w:t xml:space="preserve"> ja </w:t>
      </w:r>
      <w:proofErr w:type="spellStart"/>
      <w:r w:rsidRPr="008749E9">
        <w:rPr>
          <w:rFonts w:eastAsia="Times New Roman" w:cs="Arial"/>
          <w:color w:val="2B3244"/>
          <w:sz w:val="20"/>
          <w:szCs w:val="20"/>
          <w:highlight w:val="yellow"/>
          <w:lang w:eastAsia="et-EE"/>
        </w:rPr>
        <w:t>duodenaalhaavand</w:t>
      </w:r>
      <w:proofErr w:type="spellEnd"/>
      <w:r w:rsidRPr="008749E9">
        <w:rPr>
          <w:rFonts w:eastAsia="Times New Roman" w:cs="Arial"/>
          <w:color w:val="2B3244"/>
          <w:sz w:val="20"/>
          <w:szCs w:val="20"/>
          <w:highlight w:val="yellow"/>
          <w:lang w:eastAsia="et-EE"/>
        </w:rPr>
        <w:t xml:space="preserve"> ning kaasuvana kasutas patsient veel </w:t>
      </w:r>
      <w:proofErr w:type="spellStart"/>
      <w:r w:rsidRPr="008749E9">
        <w:rPr>
          <w:rFonts w:eastAsia="Times New Roman" w:cs="Arial"/>
          <w:color w:val="2B3244"/>
          <w:sz w:val="20"/>
          <w:szCs w:val="20"/>
          <w:highlight w:val="yellow"/>
          <w:lang w:eastAsia="et-EE"/>
        </w:rPr>
        <w:t>antiarütmikume</w:t>
      </w:r>
      <w:proofErr w:type="spellEnd"/>
      <w:r w:rsidRPr="008749E9">
        <w:rPr>
          <w:rFonts w:eastAsia="Times New Roman" w:cs="Arial"/>
          <w:color w:val="2B3244"/>
          <w:sz w:val="20"/>
          <w:szCs w:val="20"/>
          <w:highlight w:val="yellow"/>
          <w:lang w:eastAsia="et-EE"/>
        </w:rPr>
        <w:t xml:space="preserve">. </w:t>
      </w:r>
      <w:proofErr w:type="spellStart"/>
      <w:r>
        <w:rPr>
          <w:rFonts w:eastAsia="Times New Roman" w:cs="Arial"/>
          <w:color w:val="2B3244"/>
          <w:sz w:val="20"/>
          <w:szCs w:val="20"/>
          <w:highlight w:val="yellow"/>
          <w:lang w:eastAsia="et-EE"/>
        </w:rPr>
        <w:t>Patseint</w:t>
      </w:r>
      <w:proofErr w:type="spellEnd"/>
      <w:r w:rsidRPr="008749E9">
        <w:rPr>
          <w:rFonts w:eastAsia="Times New Roman" w:cs="Arial"/>
          <w:color w:val="2B3244"/>
          <w:sz w:val="20"/>
          <w:szCs w:val="20"/>
          <w:highlight w:val="yellow"/>
          <w:lang w:eastAsia="et-EE"/>
        </w:rPr>
        <w:t xml:space="preserve"> suri haiguse süvenemise tõttu. </w:t>
      </w:r>
      <w:r>
        <w:rPr>
          <w:rFonts w:eastAsia="Times New Roman" w:cs="Arial"/>
          <w:color w:val="2B3244"/>
          <w:sz w:val="20"/>
          <w:szCs w:val="20"/>
          <w:highlight w:val="yellow"/>
          <w:lang w:eastAsia="et-EE"/>
        </w:rPr>
        <w:t>S</w:t>
      </w:r>
      <w:r w:rsidRPr="008749E9">
        <w:rPr>
          <w:rFonts w:eastAsia="Times New Roman" w:cs="Arial"/>
          <w:color w:val="2B3244"/>
          <w:sz w:val="20"/>
          <w:szCs w:val="20"/>
          <w:highlight w:val="yellow"/>
          <w:lang w:eastAsia="et-EE"/>
        </w:rPr>
        <w:t xml:space="preserve">urma põhjuseks </w:t>
      </w:r>
      <w:r>
        <w:rPr>
          <w:rFonts w:eastAsia="Times New Roman" w:cs="Arial"/>
          <w:color w:val="2B3244"/>
          <w:sz w:val="20"/>
          <w:szCs w:val="20"/>
          <w:highlight w:val="yellow"/>
          <w:lang w:eastAsia="et-EE"/>
        </w:rPr>
        <w:t xml:space="preserve">hinnati </w:t>
      </w:r>
      <w:r w:rsidRPr="008749E9">
        <w:rPr>
          <w:rFonts w:eastAsia="Times New Roman" w:cs="Arial"/>
          <w:color w:val="2B3244"/>
          <w:sz w:val="20"/>
          <w:szCs w:val="20"/>
          <w:highlight w:val="yellow"/>
          <w:lang w:eastAsia="et-EE"/>
        </w:rPr>
        <w:t>haiguse progresseerumine, kuna KML on progresseeruva kuluga haigus.</w:t>
      </w:r>
    </w:p>
    <w:p w14:paraId="28496310" w14:textId="77777777" w:rsidR="00FD4BF9" w:rsidRPr="008749E9" w:rsidRDefault="00FD4BF9" w:rsidP="00FD4BF9">
      <w:pPr>
        <w:pStyle w:val="ListParagraph"/>
        <w:numPr>
          <w:ilvl w:val="0"/>
          <w:numId w:val="1"/>
        </w:numPr>
        <w:spacing w:before="100" w:beforeAutospacing="1" w:after="100" w:afterAutospacing="1" w:line="336" w:lineRule="auto"/>
        <w:rPr>
          <w:rFonts w:eastAsia="Times New Roman" w:cs="Arial"/>
          <w:color w:val="2B3244"/>
          <w:sz w:val="20"/>
          <w:szCs w:val="20"/>
          <w:highlight w:val="yellow"/>
          <w:lang w:eastAsia="et-EE"/>
        </w:rPr>
      </w:pPr>
      <w:r w:rsidRPr="008749E9">
        <w:rPr>
          <w:rFonts w:eastAsia="Times New Roman" w:cs="Arial"/>
          <w:color w:val="2B3244"/>
          <w:sz w:val="20"/>
          <w:szCs w:val="20"/>
          <w:highlight w:val="yellow"/>
          <w:lang w:eastAsia="et-EE"/>
        </w:rPr>
        <w:t xml:space="preserve">Teadmata vanuses patsient suri </w:t>
      </w:r>
      <w:proofErr w:type="spellStart"/>
      <w:r w:rsidRPr="008749E9">
        <w:rPr>
          <w:rFonts w:eastAsia="Times New Roman" w:cs="Arial"/>
          <w:color w:val="2B3244"/>
          <w:sz w:val="20"/>
          <w:szCs w:val="20"/>
          <w:highlight w:val="yellow"/>
          <w:lang w:eastAsia="et-EE"/>
        </w:rPr>
        <w:t>fentanüülimürgistuse</w:t>
      </w:r>
      <w:proofErr w:type="spellEnd"/>
      <w:r w:rsidRPr="008749E9">
        <w:rPr>
          <w:rFonts w:eastAsia="Times New Roman" w:cs="Arial"/>
          <w:color w:val="2B3244"/>
          <w:sz w:val="20"/>
          <w:szCs w:val="20"/>
          <w:highlight w:val="yellow"/>
          <w:lang w:eastAsia="et-EE"/>
        </w:rPr>
        <w:t xml:space="preserve"> tagajärjel. Teave pärineb kirjandusallikast, kus kirjeldati surmaga lõppenud mürgistusjuhte aastatel 2002-2013. Teadmata vanuses patsient sai </w:t>
      </w:r>
      <w:proofErr w:type="spellStart"/>
      <w:r w:rsidRPr="008749E9">
        <w:rPr>
          <w:rFonts w:eastAsia="Times New Roman" w:cs="Arial"/>
          <w:color w:val="2B3244"/>
          <w:sz w:val="20"/>
          <w:szCs w:val="20"/>
          <w:highlight w:val="yellow"/>
          <w:lang w:eastAsia="et-EE"/>
        </w:rPr>
        <w:t>fentanüüli</w:t>
      </w:r>
      <w:proofErr w:type="spellEnd"/>
      <w:r w:rsidRPr="008749E9">
        <w:rPr>
          <w:rFonts w:eastAsia="Times New Roman" w:cs="Arial"/>
          <w:color w:val="2B3244"/>
          <w:sz w:val="20"/>
          <w:szCs w:val="20"/>
          <w:highlight w:val="yellow"/>
          <w:lang w:eastAsia="et-EE"/>
        </w:rPr>
        <w:t xml:space="preserve"> ja suri ägeda mürgistuse tõttu. Andmed on puudulikud, et </w:t>
      </w:r>
      <w:r>
        <w:rPr>
          <w:rFonts w:eastAsia="Times New Roman" w:cs="Arial"/>
          <w:color w:val="2B3244"/>
          <w:sz w:val="20"/>
          <w:szCs w:val="20"/>
          <w:highlight w:val="yellow"/>
          <w:lang w:eastAsia="et-EE"/>
        </w:rPr>
        <w:t xml:space="preserve">seost </w:t>
      </w:r>
      <w:r w:rsidRPr="008749E9">
        <w:rPr>
          <w:rFonts w:eastAsia="Times New Roman" w:cs="Arial"/>
          <w:color w:val="2B3244"/>
          <w:sz w:val="20"/>
          <w:szCs w:val="20"/>
          <w:highlight w:val="yellow"/>
          <w:lang w:eastAsia="et-EE"/>
        </w:rPr>
        <w:t xml:space="preserve">täpsemalt hinnata. </w:t>
      </w:r>
    </w:p>
    <w:p w14:paraId="226A1F47" w14:textId="77777777" w:rsidR="00FD4BF9" w:rsidRPr="008749E9" w:rsidRDefault="00FD4BF9" w:rsidP="00FD4BF9">
      <w:pPr>
        <w:pStyle w:val="ListParagraph"/>
        <w:numPr>
          <w:ilvl w:val="0"/>
          <w:numId w:val="1"/>
        </w:numPr>
        <w:spacing w:before="100" w:beforeAutospacing="1" w:after="100" w:afterAutospacing="1" w:line="336" w:lineRule="auto"/>
        <w:rPr>
          <w:rFonts w:eastAsia="Times New Roman" w:cs="Arial"/>
          <w:color w:val="2B3244"/>
          <w:sz w:val="20"/>
          <w:szCs w:val="20"/>
          <w:highlight w:val="yellow"/>
          <w:lang w:eastAsia="et-EE"/>
        </w:rPr>
      </w:pPr>
      <w:r w:rsidRPr="008749E9">
        <w:rPr>
          <w:rFonts w:eastAsia="Times New Roman" w:cs="Arial"/>
          <w:color w:val="2B3244"/>
          <w:sz w:val="20"/>
          <w:szCs w:val="20"/>
          <w:highlight w:val="yellow"/>
          <w:lang w:eastAsia="et-EE"/>
        </w:rPr>
        <w:t>26-a</w:t>
      </w:r>
      <w:r>
        <w:rPr>
          <w:rFonts w:eastAsia="Times New Roman" w:cs="Arial"/>
          <w:color w:val="2B3244"/>
          <w:sz w:val="20"/>
          <w:szCs w:val="20"/>
          <w:highlight w:val="yellow"/>
          <w:lang w:eastAsia="et-EE"/>
        </w:rPr>
        <w:t>astane</w:t>
      </w:r>
      <w:r w:rsidRPr="008749E9">
        <w:rPr>
          <w:rFonts w:eastAsia="Times New Roman" w:cs="Arial"/>
          <w:color w:val="2B3244"/>
          <w:sz w:val="20"/>
          <w:szCs w:val="20"/>
          <w:highlight w:val="yellow"/>
          <w:lang w:eastAsia="et-EE"/>
        </w:rPr>
        <w:t xml:space="preserve"> meespatsient </w:t>
      </w:r>
      <w:r>
        <w:rPr>
          <w:rFonts w:eastAsia="Times New Roman" w:cs="Arial"/>
          <w:color w:val="2B3244"/>
          <w:sz w:val="20"/>
          <w:szCs w:val="20"/>
          <w:highlight w:val="yellow"/>
          <w:lang w:eastAsia="et-EE"/>
        </w:rPr>
        <w:t>kasutas</w:t>
      </w:r>
      <w:r w:rsidRPr="008749E9">
        <w:rPr>
          <w:rFonts w:eastAsia="Times New Roman" w:cs="Arial"/>
          <w:color w:val="2B3244"/>
          <w:sz w:val="20"/>
          <w:szCs w:val="20"/>
          <w:highlight w:val="yellow"/>
          <w:lang w:eastAsia="et-EE"/>
        </w:rPr>
        <w:t xml:space="preserve"> </w:t>
      </w:r>
      <w:proofErr w:type="spellStart"/>
      <w:r w:rsidRPr="008749E9">
        <w:rPr>
          <w:rFonts w:eastAsia="Times New Roman" w:cs="Arial"/>
          <w:color w:val="2B3244"/>
          <w:sz w:val="20"/>
          <w:szCs w:val="20"/>
          <w:highlight w:val="yellow"/>
          <w:lang w:eastAsia="et-EE"/>
        </w:rPr>
        <w:t>estsitalopraami</w:t>
      </w:r>
      <w:proofErr w:type="spellEnd"/>
      <w:r w:rsidRPr="008749E9">
        <w:rPr>
          <w:rFonts w:eastAsia="Times New Roman" w:cs="Arial"/>
          <w:color w:val="2B3244"/>
          <w:sz w:val="20"/>
          <w:szCs w:val="20"/>
          <w:highlight w:val="yellow"/>
          <w:lang w:eastAsia="et-EE"/>
        </w:rPr>
        <w:t xml:space="preserve"> (kaasuva ravimina) ärevuse </w:t>
      </w:r>
      <w:r>
        <w:rPr>
          <w:rFonts w:eastAsia="Times New Roman" w:cs="Arial"/>
          <w:color w:val="2B3244"/>
          <w:sz w:val="20"/>
          <w:szCs w:val="20"/>
          <w:highlight w:val="yellow"/>
          <w:lang w:eastAsia="et-EE"/>
        </w:rPr>
        <w:t>raviks</w:t>
      </w:r>
      <w:r w:rsidRPr="008749E9">
        <w:rPr>
          <w:rFonts w:eastAsia="Times New Roman" w:cs="Arial"/>
          <w:color w:val="2B3244"/>
          <w:sz w:val="20"/>
          <w:szCs w:val="20"/>
          <w:highlight w:val="yellow"/>
          <w:lang w:eastAsia="et-EE"/>
        </w:rPr>
        <w:t xml:space="preserve">. </w:t>
      </w:r>
      <w:proofErr w:type="spellStart"/>
      <w:r w:rsidRPr="008749E9">
        <w:rPr>
          <w:rFonts w:eastAsia="Times New Roman" w:cs="Arial"/>
          <w:color w:val="2B3244"/>
          <w:sz w:val="20"/>
          <w:szCs w:val="20"/>
          <w:highlight w:val="yellow"/>
          <w:lang w:eastAsia="et-EE"/>
        </w:rPr>
        <w:t>Refluksösofagiidi</w:t>
      </w:r>
      <w:proofErr w:type="spellEnd"/>
      <w:r w:rsidRPr="008749E9">
        <w:rPr>
          <w:rFonts w:eastAsia="Times New Roman" w:cs="Arial"/>
          <w:color w:val="2B3244"/>
          <w:sz w:val="20"/>
          <w:szCs w:val="20"/>
          <w:highlight w:val="yellow"/>
          <w:lang w:eastAsia="et-EE"/>
        </w:rPr>
        <w:t xml:space="preserve"> ja kõrvetiste tõttu alustati ravi </w:t>
      </w:r>
      <w:proofErr w:type="spellStart"/>
      <w:r w:rsidRPr="008749E9">
        <w:rPr>
          <w:rFonts w:eastAsia="Times New Roman" w:cs="Arial"/>
          <w:color w:val="2B3244"/>
          <w:sz w:val="20"/>
          <w:szCs w:val="20"/>
          <w:highlight w:val="yellow"/>
          <w:lang w:eastAsia="et-EE"/>
        </w:rPr>
        <w:t>esomeprasooliga</w:t>
      </w:r>
      <w:proofErr w:type="spellEnd"/>
      <w:r w:rsidRPr="008749E9">
        <w:rPr>
          <w:rFonts w:eastAsia="Times New Roman" w:cs="Arial"/>
          <w:color w:val="2B3244"/>
          <w:sz w:val="20"/>
          <w:szCs w:val="20"/>
          <w:highlight w:val="yellow"/>
          <w:lang w:eastAsia="et-EE"/>
        </w:rPr>
        <w:t>. Patsiendil esines mitmeid kõrvaltoimeid (iiveldus, kõhukinnisus, kõhulahtisus)</w:t>
      </w:r>
      <w:r>
        <w:rPr>
          <w:rFonts w:eastAsia="Times New Roman" w:cs="Arial"/>
          <w:color w:val="2B3244"/>
          <w:sz w:val="20"/>
          <w:szCs w:val="20"/>
          <w:highlight w:val="yellow"/>
          <w:lang w:eastAsia="et-EE"/>
        </w:rPr>
        <w:t>,</w:t>
      </w:r>
      <w:r w:rsidRPr="008749E9">
        <w:rPr>
          <w:rFonts w:eastAsia="Times New Roman" w:cs="Arial"/>
          <w:color w:val="2B3244"/>
          <w:sz w:val="20"/>
          <w:szCs w:val="20"/>
          <w:highlight w:val="yellow"/>
          <w:lang w:eastAsia="et-EE"/>
        </w:rPr>
        <w:t xml:space="preserve"> </w:t>
      </w:r>
      <w:proofErr w:type="spellStart"/>
      <w:r w:rsidRPr="008749E9">
        <w:rPr>
          <w:rFonts w:eastAsia="Times New Roman" w:cs="Arial"/>
          <w:color w:val="2B3244"/>
          <w:sz w:val="20"/>
          <w:szCs w:val="20"/>
          <w:highlight w:val="yellow"/>
          <w:lang w:eastAsia="et-EE"/>
        </w:rPr>
        <w:t>neuropsüühilisi</w:t>
      </w:r>
      <w:proofErr w:type="spellEnd"/>
      <w:r w:rsidRPr="008749E9">
        <w:rPr>
          <w:rFonts w:eastAsia="Times New Roman" w:cs="Arial"/>
          <w:color w:val="2B3244"/>
          <w:sz w:val="20"/>
          <w:szCs w:val="20"/>
          <w:highlight w:val="yellow"/>
          <w:lang w:eastAsia="et-EE"/>
        </w:rPr>
        <w:t xml:space="preserve"> sümptomeid (ärevus, depressioon) j</w:t>
      </w:r>
      <w:r>
        <w:rPr>
          <w:rFonts w:eastAsia="Times New Roman" w:cs="Arial"/>
          <w:color w:val="2B3244"/>
          <w:sz w:val="20"/>
          <w:szCs w:val="20"/>
          <w:highlight w:val="yellow"/>
          <w:lang w:eastAsia="et-EE"/>
        </w:rPr>
        <w:t>a teisi</w:t>
      </w:r>
      <w:r w:rsidRPr="008749E9">
        <w:rPr>
          <w:rFonts w:eastAsia="Times New Roman" w:cs="Arial"/>
          <w:color w:val="2B3244"/>
          <w:sz w:val="20"/>
          <w:szCs w:val="20"/>
          <w:highlight w:val="yellow"/>
          <w:lang w:eastAsia="et-EE"/>
        </w:rPr>
        <w:t xml:space="preserve"> sümptomeid (</w:t>
      </w:r>
      <w:proofErr w:type="spellStart"/>
      <w:r w:rsidRPr="008749E9">
        <w:rPr>
          <w:rFonts w:eastAsia="Times New Roman" w:cs="Arial"/>
          <w:color w:val="2B3244"/>
          <w:sz w:val="20"/>
          <w:szCs w:val="20"/>
          <w:highlight w:val="yellow"/>
          <w:lang w:eastAsia="et-EE"/>
        </w:rPr>
        <w:t>sinusiit</w:t>
      </w:r>
      <w:proofErr w:type="spellEnd"/>
      <w:r w:rsidRPr="008749E9">
        <w:rPr>
          <w:rFonts w:eastAsia="Times New Roman" w:cs="Arial"/>
          <w:color w:val="2B3244"/>
          <w:sz w:val="20"/>
          <w:szCs w:val="20"/>
          <w:highlight w:val="yellow"/>
          <w:lang w:eastAsia="et-EE"/>
        </w:rPr>
        <w:t xml:space="preserve">, väsimus, hingeldus, mille alusel diagnoositi astma, põletus- ja torkimistunne kogu kehal, suukuivus, </w:t>
      </w:r>
      <w:proofErr w:type="spellStart"/>
      <w:r w:rsidRPr="008749E9">
        <w:rPr>
          <w:rFonts w:eastAsia="Times New Roman" w:cs="Arial"/>
          <w:color w:val="2B3244"/>
          <w:sz w:val="20"/>
          <w:szCs w:val="20"/>
          <w:highlight w:val="yellow"/>
          <w:lang w:eastAsia="et-EE"/>
        </w:rPr>
        <w:t>glossiit</w:t>
      </w:r>
      <w:proofErr w:type="spellEnd"/>
      <w:r w:rsidRPr="008749E9">
        <w:rPr>
          <w:rFonts w:eastAsia="Times New Roman" w:cs="Arial"/>
          <w:color w:val="2B3244"/>
          <w:sz w:val="20"/>
          <w:szCs w:val="20"/>
          <w:highlight w:val="yellow"/>
          <w:lang w:eastAsia="et-EE"/>
        </w:rPr>
        <w:t xml:space="preserve">, </w:t>
      </w:r>
      <w:proofErr w:type="spellStart"/>
      <w:r w:rsidRPr="008749E9">
        <w:rPr>
          <w:rFonts w:eastAsia="Times New Roman" w:cs="Arial"/>
          <w:color w:val="2B3244"/>
          <w:sz w:val="20"/>
          <w:szCs w:val="20"/>
          <w:highlight w:val="yellow"/>
          <w:lang w:eastAsia="et-EE"/>
        </w:rPr>
        <w:t>palpitatsioonid</w:t>
      </w:r>
      <w:proofErr w:type="spellEnd"/>
      <w:r w:rsidRPr="008749E9">
        <w:rPr>
          <w:rFonts w:eastAsia="Times New Roman" w:cs="Arial"/>
          <w:color w:val="2B3244"/>
          <w:sz w:val="20"/>
          <w:szCs w:val="20"/>
          <w:highlight w:val="yellow"/>
          <w:lang w:eastAsia="et-EE"/>
        </w:rPr>
        <w:t xml:space="preserve"> j</w:t>
      </w:r>
      <w:r>
        <w:rPr>
          <w:rFonts w:eastAsia="Times New Roman" w:cs="Arial"/>
          <w:color w:val="2B3244"/>
          <w:sz w:val="20"/>
          <w:szCs w:val="20"/>
          <w:highlight w:val="yellow"/>
          <w:lang w:eastAsia="et-EE"/>
        </w:rPr>
        <w:t>t</w:t>
      </w:r>
      <w:r w:rsidRPr="008749E9">
        <w:rPr>
          <w:rFonts w:eastAsia="Times New Roman" w:cs="Arial"/>
          <w:color w:val="2B3244"/>
          <w:sz w:val="20"/>
          <w:szCs w:val="20"/>
          <w:highlight w:val="yellow"/>
          <w:lang w:eastAsia="et-EE"/>
        </w:rPr>
        <w:t xml:space="preserve">). Sümptomite alusel diagnoositi ärevus </w:t>
      </w:r>
      <w:proofErr w:type="spellStart"/>
      <w:r w:rsidRPr="008749E9">
        <w:rPr>
          <w:rFonts w:eastAsia="Times New Roman" w:cs="Arial"/>
          <w:color w:val="2B3244"/>
          <w:sz w:val="20"/>
          <w:szCs w:val="20"/>
          <w:highlight w:val="yellow"/>
          <w:lang w:eastAsia="et-EE"/>
        </w:rPr>
        <w:t>somatisatsiooniga</w:t>
      </w:r>
      <w:proofErr w:type="spellEnd"/>
      <w:r w:rsidRPr="008749E9">
        <w:rPr>
          <w:rFonts w:eastAsia="Times New Roman" w:cs="Arial"/>
          <w:color w:val="2B3244"/>
          <w:sz w:val="20"/>
          <w:szCs w:val="20"/>
          <w:highlight w:val="yellow"/>
          <w:lang w:eastAsia="et-EE"/>
        </w:rPr>
        <w:t xml:space="preserve">. Patsient teostas suitsiidi. Kõrvaltoime teataja hindas kõik nähud </w:t>
      </w:r>
      <w:proofErr w:type="spellStart"/>
      <w:r w:rsidRPr="008749E9">
        <w:rPr>
          <w:rFonts w:eastAsia="Times New Roman" w:cs="Arial"/>
          <w:color w:val="2B3244"/>
          <w:sz w:val="20"/>
          <w:szCs w:val="20"/>
          <w:highlight w:val="yellow"/>
          <w:lang w:eastAsia="et-EE"/>
        </w:rPr>
        <w:t>esomeprasooliga</w:t>
      </w:r>
      <w:proofErr w:type="spellEnd"/>
      <w:r w:rsidRPr="008749E9">
        <w:rPr>
          <w:rFonts w:eastAsia="Times New Roman" w:cs="Arial"/>
          <w:color w:val="2B3244"/>
          <w:sz w:val="20"/>
          <w:szCs w:val="20"/>
          <w:highlight w:val="yellow"/>
          <w:lang w:eastAsia="et-EE"/>
        </w:rPr>
        <w:t xml:space="preserve"> seotuks. Suitsiid, ärevus, </w:t>
      </w:r>
      <w:proofErr w:type="spellStart"/>
      <w:r w:rsidRPr="008749E9">
        <w:rPr>
          <w:rFonts w:eastAsia="Times New Roman" w:cs="Arial"/>
          <w:color w:val="2B3244"/>
          <w:sz w:val="20"/>
          <w:szCs w:val="20"/>
          <w:highlight w:val="yellow"/>
          <w:lang w:eastAsia="et-EE"/>
        </w:rPr>
        <w:t>sinusiit</w:t>
      </w:r>
      <w:proofErr w:type="spellEnd"/>
      <w:r w:rsidRPr="008749E9">
        <w:rPr>
          <w:rFonts w:eastAsia="Times New Roman" w:cs="Arial"/>
          <w:color w:val="2B3244"/>
          <w:sz w:val="20"/>
          <w:szCs w:val="20"/>
          <w:highlight w:val="yellow"/>
          <w:lang w:eastAsia="et-EE"/>
        </w:rPr>
        <w:t xml:space="preserve">, väsimus, astma, </w:t>
      </w:r>
      <w:proofErr w:type="spellStart"/>
      <w:r w:rsidRPr="008749E9">
        <w:rPr>
          <w:rFonts w:eastAsia="Times New Roman" w:cs="Arial"/>
          <w:color w:val="2B3244"/>
          <w:sz w:val="20"/>
          <w:szCs w:val="20"/>
          <w:highlight w:val="yellow"/>
          <w:lang w:eastAsia="et-EE"/>
        </w:rPr>
        <w:t>somatisatsioon</w:t>
      </w:r>
      <w:proofErr w:type="spellEnd"/>
      <w:r w:rsidRPr="008749E9">
        <w:rPr>
          <w:rFonts w:eastAsia="Times New Roman" w:cs="Arial"/>
          <w:color w:val="2B3244"/>
          <w:sz w:val="20"/>
          <w:szCs w:val="20"/>
          <w:highlight w:val="yellow"/>
          <w:lang w:eastAsia="et-EE"/>
        </w:rPr>
        <w:t xml:space="preserve"> ja </w:t>
      </w:r>
      <w:proofErr w:type="spellStart"/>
      <w:r w:rsidRPr="008749E9">
        <w:rPr>
          <w:rFonts w:eastAsia="Times New Roman" w:cs="Arial"/>
          <w:color w:val="2B3244"/>
          <w:sz w:val="20"/>
          <w:szCs w:val="20"/>
          <w:highlight w:val="yellow"/>
          <w:lang w:eastAsia="et-EE"/>
        </w:rPr>
        <w:t>palpitatsioonid</w:t>
      </w:r>
      <w:proofErr w:type="spellEnd"/>
      <w:r w:rsidRPr="008749E9">
        <w:rPr>
          <w:rFonts w:eastAsia="Times New Roman" w:cs="Arial"/>
          <w:color w:val="2B3244"/>
          <w:sz w:val="20"/>
          <w:szCs w:val="20"/>
          <w:highlight w:val="yellow"/>
          <w:lang w:eastAsia="et-EE"/>
        </w:rPr>
        <w:t xml:space="preserve"> on seniteadmata kõrvaltoimed </w:t>
      </w:r>
      <w:proofErr w:type="spellStart"/>
      <w:r w:rsidRPr="008749E9">
        <w:rPr>
          <w:rFonts w:eastAsia="Times New Roman" w:cs="Arial"/>
          <w:color w:val="2B3244"/>
          <w:sz w:val="20"/>
          <w:szCs w:val="20"/>
          <w:highlight w:val="yellow"/>
          <w:lang w:eastAsia="et-EE"/>
        </w:rPr>
        <w:t>esomeprasoolile</w:t>
      </w:r>
      <w:proofErr w:type="spellEnd"/>
      <w:r w:rsidRPr="008749E9">
        <w:rPr>
          <w:rFonts w:eastAsia="Times New Roman" w:cs="Arial"/>
          <w:color w:val="2B3244"/>
          <w:sz w:val="20"/>
          <w:szCs w:val="20"/>
          <w:highlight w:val="yellow"/>
          <w:lang w:eastAsia="et-EE"/>
        </w:rPr>
        <w:t xml:space="preserve">. Lisaks esinesid patsiendil teadaolevad kõrvaltoimed: depressioon, iiveldus, </w:t>
      </w:r>
      <w:proofErr w:type="spellStart"/>
      <w:r w:rsidRPr="008749E9">
        <w:rPr>
          <w:rFonts w:eastAsia="Times New Roman" w:cs="Arial"/>
          <w:color w:val="2B3244"/>
          <w:sz w:val="20"/>
          <w:szCs w:val="20"/>
          <w:highlight w:val="yellow"/>
          <w:lang w:eastAsia="et-EE"/>
        </w:rPr>
        <w:t>diarröa</w:t>
      </w:r>
      <w:proofErr w:type="spellEnd"/>
      <w:r w:rsidRPr="008749E9">
        <w:rPr>
          <w:rFonts w:eastAsia="Times New Roman" w:cs="Arial"/>
          <w:color w:val="2B3244"/>
          <w:sz w:val="20"/>
          <w:szCs w:val="20"/>
          <w:highlight w:val="yellow"/>
          <w:lang w:eastAsia="et-EE"/>
        </w:rPr>
        <w:t xml:space="preserve">, kõhukinnisus, mis võisid põhjustada ka väsimust. Depressioon koos eelnevalt esinenud ärevusega võisid olla ärevuse ja suitsiidi alternatiivsed põhjused. </w:t>
      </w:r>
      <w:proofErr w:type="spellStart"/>
      <w:r w:rsidRPr="008749E9">
        <w:rPr>
          <w:rFonts w:eastAsia="Times New Roman" w:cs="Arial"/>
          <w:color w:val="2B3244"/>
          <w:sz w:val="20"/>
          <w:szCs w:val="20"/>
          <w:highlight w:val="yellow"/>
          <w:lang w:eastAsia="et-EE"/>
        </w:rPr>
        <w:t>Somatisatsioonihäire</w:t>
      </w:r>
      <w:proofErr w:type="spellEnd"/>
      <w:r w:rsidRPr="008749E9">
        <w:rPr>
          <w:rFonts w:eastAsia="Times New Roman" w:cs="Arial"/>
          <w:color w:val="2B3244"/>
          <w:sz w:val="20"/>
          <w:szCs w:val="20"/>
          <w:highlight w:val="yellow"/>
          <w:lang w:eastAsia="et-EE"/>
        </w:rPr>
        <w:t xml:space="preserve"> võis soodustada nähtude teket. Täpse põhjusliku seose hindamiseks on siiski andmed puudulikud: puudub info sümptomite täpse algusaja kohta, täpsem info seisundite kohta, psühhiaatriline ning hingamis- ja südamehaiguste anamnees </w:t>
      </w:r>
      <w:r>
        <w:rPr>
          <w:rFonts w:eastAsia="Times New Roman" w:cs="Arial"/>
          <w:color w:val="2B3244"/>
          <w:sz w:val="20"/>
          <w:szCs w:val="20"/>
          <w:highlight w:val="yellow"/>
          <w:lang w:eastAsia="et-EE"/>
        </w:rPr>
        <w:t>ning</w:t>
      </w:r>
      <w:r w:rsidRPr="008749E9">
        <w:rPr>
          <w:rFonts w:eastAsia="Times New Roman" w:cs="Arial"/>
          <w:color w:val="2B3244"/>
          <w:sz w:val="20"/>
          <w:szCs w:val="20"/>
          <w:highlight w:val="yellow"/>
          <w:lang w:eastAsia="et-EE"/>
        </w:rPr>
        <w:t xml:space="preserve"> lahangu tulemus.</w:t>
      </w:r>
    </w:p>
    <w:p w14:paraId="2B150376" w14:textId="77777777" w:rsidR="00D464A9" w:rsidRPr="00BD662F" w:rsidRDefault="0058460C">
      <w:pPr>
        <w:spacing w:before="100" w:beforeAutospacing="1" w:after="100" w:afterAutospacing="1" w:line="336" w:lineRule="auto"/>
        <w:ind w:left="360"/>
        <w:rPr>
          <w:rFonts w:eastAsia="Times New Roman" w:cs="Arial"/>
          <w:color w:val="2B3244"/>
          <w:lang w:eastAsia="et-EE"/>
        </w:rPr>
      </w:pPr>
      <w:r w:rsidRPr="00BD662F">
        <w:rPr>
          <w:rFonts w:eastAsia="Times New Roman" w:cs="Arial"/>
          <w:color w:val="2B3244"/>
          <w:lang w:eastAsia="et-EE"/>
        </w:rPr>
        <w:t>Nende juhtude korral esinesid teised riskifaktorid ja kaasuvad haigused või olid andmed puudulikud, et seost adekvaatselt hinnata.</w:t>
      </w:r>
    </w:p>
    <w:p w14:paraId="60327FEF"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w:t>
      </w:r>
      <w:r w:rsidRPr="00BD662F">
        <w:rPr>
          <w:rFonts w:eastAsia="Calibri" w:cs="Times New Roman"/>
        </w:rPr>
        <w:t xml:space="preserve"> </w:t>
      </w:r>
      <w:r w:rsidRPr="00BD662F">
        <w:rPr>
          <w:rFonts w:eastAsia="Times New Roman" w:cs="Arial"/>
          <w:color w:val="2B3244"/>
          <w:lang w:eastAsia="et-EE"/>
        </w:rPr>
        <w:t>WHO põhjusliku seose kriteeriumide kohta loe -</w:t>
      </w:r>
      <w:r w:rsidRPr="00BD662F">
        <w:rPr>
          <w:rFonts w:eastAsia="Calibri" w:cs="Times New Roman"/>
        </w:rPr>
        <w:t xml:space="preserve"> </w:t>
      </w:r>
      <w:hyperlink r:id="rId10" w:history="1">
        <w:r w:rsidRPr="00BD662F">
          <w:rPr>
            <w:rFonts w:eastAsia="Times New Roman" w:cs="Arial"/>
            <w:color w:val="0000FF"/>
            <w:u w:val="single"/>
            <w:lang w:eastAsia="et-EE"/>
          </w:rPr>
          <w:t>http://who-umc.org/Graphics/24734.pdf</w:t>
        </w:r>
      </w:hyperlink>
    </w:p>
    <w:p w14:paraId="0C62EB43" w14:textId="77777777" w:rsidR="00657B60" w:rsidRPr="008500AB" w:rsidRDefault="006A17A0">
      <w:pPr>
        <w:spacing w:beforeAutospacing="1" w:after="100" w:afterAutospacing="1" w:line="336" w:lineRule="auto"/>
        <w:rPr>
          <w:rFonts w:eastAsia="Times New Roman" w:cs="Arial"/>
          <w:b/>
          <w:color w:val="2B3244"/>
          <w:sz w:val="24"/>
          <w:szCs w:val="24"/>
          <w:lang w:eastAsia="et-EE"/>
        </w:rPr>
      </w:pPr>
      <w:r w:rsidRPr="008500AB">
        <w:rPr>
          <w:rFonts w:eastAsia="Times New Roman" w:cs="Arial"/>
          <w:b/>
          <w:color w:val="2B3244"/>
          <w:sz w:val="24"/>
          <w:szCs w:val="24"/>
          <w:lang w:eastAsia="et-EE"/>
        </w:rPr>
        <w:t>Kõrvaltoimete liigitamine tõsiseks/mittetõsiseks:</w:t>
      </w:r>
    </w:p>
    <w:p w14:paraId="49E83158" w14:textId="77777777" w:rsidR="00657B60" w:rsidRPr="00BD662F" w:rsidRDefault="000D5F8E">
      <w:pPr>
        <w:spacing w:before="100" w:beforeAutospacing="1" w:after="100" w:afterAutospacing="1" w:line="336" w:lineRule="auto"/>
        <w:rPr>
          <w:rFonts w:eastAsia="Times New Roman" w:cs="Arial"/>
          <w:lang w:eastAsia="et-EE"/>
        </w:rPr>
      </w:pPr>
      <w:r w:rsidRPr="00BD662F">
        <w:rPr>
          <w:rFonts w:eastAsia="Times New Roman" w:cs="Arial"/>
          <w:lang w:eastAsia="et-EE"/>
        </w:rPr>
        <w:t>181</w:t>
      </w:r>
      <w:r w:rsidR="006A17A0" w:rsidRPr="00BD662F">
        <w:rPr>
          <w:rFonts w:eastAsia="Times New Roman" w:cs="Arial"/>
          <w:lang w:eastAsia="et-EE"/>
        </w:rPr>
        <w:t>-st kõrvaltoime teatisest, mille puhul oli ravimi ja kõrvaltoime vaheline seos kindel, tõenäoline või vähemalt võimalik, sisaldasid:</w:t>
      </w:r>
    </w:p>
    <w:p w14:paraId="6BB9EC29" w14:textId="67455288" w:rsidR="00657B60" w:rsidRPr="00BD662F" w:rsidRDefault="00A47C2E">
      <w:pPr>
        <w:numPr>
          <w:ilvl w:val="0"/>
          <w:numId w:val="4"/>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113 </w:t>
      </w:r>
      <w:r w:rsidR="00D764A6" w:rsidRPr="00BD662F">
        <w:rPr>
          <w:rFonts w:eastAsia="Times New Roman" w:cs="Arial"/>
          <w:lang w:eastAsia="et-EE"/>
        </w:rPr>
        <w:t xml:space="preserve">teatist </w:t>
      </w:r>
      <w:r w:rsidRPr="00BD662F">
        <w:rPr>
          <w:rFonts w:eastAsia="Times New Roman" w:cs="Arial"/>
          <w:lang w:eastAsia="et-EE"/>
        </w:rPr>
        <w:t>tõsist kõrvaltoime</w:t>
      </w:r>
      <w:r w:rsidR="00D764A6" w:rsidRPr="00BD662F">
        <w:rPr>
          <w:rFonts w:eastAsia="Times New Roman" w:cs="Arial"/>
          <w:lang w:eastAsia="et-EE"/>
        </w:rPr>
        <w:t>t</w:t>
      </w:r>
      <w:r w:rsidRPr="00BD662F">
        <w:rPr>
          <w:rFonts w:eastAsia="Times New Roman" w:cs="Arial"/>
          <w:lang w:eastAsia="et-EE"/>
        </w:rPr>
        <w:t xml:space="preserve"> </w:t>
      </w:r>
      <w:r w:rsidR="006A17A0" w:rsidRPr="00BD662F">
        <w:rPr>
          <w:rFonts w:eastAsia="Times New Roman" w:cs="Arial"/>
          <w:lang w:eastAsia="et-EE"/>
        </w:rPr>
        <w:t>(</w:t>
      </w:r>
      <w:r w:rsidRPr="00BD662F">
        <w:rPr>
          <w:rFonts w:eastAsia="Times New Roman" w:cs="Arial"/>
          <w:lang w:eastAsia="et-EE"/>
        </w:rPr>
        <w:t>62,4</w:t>
      </w:r>
      <w:r w:rsidR="006A17A0" w:rsidRPr="00BD662F">
        <w:rPr>
          <w:rFonts w:eastAsia="Times New Roman" w:cs="Arial"/>
          <w:lang w:eastAsia="et-EE"/>
        </w:rPr>
        <w:t>%)</w:t>
      </w:r>
      <w:r w:rsidR="00B55360" w:rsidRPr="00BD662F">
        <w:rPr>
          <w:rFonts w:eastAsia="Times New Roman" w:cs="Arial"/>
          <w:lang w:eastAsia="et-EE"/>
        </w:rPr>
        <w:t>, neist</w:t>
      </w:r>
      <w:r w:rsidR="005A6A9A" w:rsidRPr="00BD662F">
        <w:rPr>
          <w:rFonts w:eastAsia="Times New Roman" w:cs="Arial"/>
          <w:lang w:eastAsia="et-EE"/>
        </w:rPr>
        <w:t xml:space="preserve"> </w:t>
      </w:r>
      <w:r w:rsidRPr="00BD662F">
        <w:rPr>
          <w:rFonts w:eastAsia="Times New Roman" w:cs="Arial"/>
          <w:lang w:eastAsia="et-EE"/>
        </w:rPr>
        <w:t>106</w:t>
      </w:r>
      <w:r w:rsidR="006A17A0" w:rsidRPr="00BD662F">
        <w:rPr>
          <w:rFonts w:eastAsia="Times New Roman" w:cs="Arial"/>
          <w:lang w:eastAsia="et-EE"/>
        </w:rPr>
        <w:t xml:space="preserve"> teatist ravimitele ja 7 vaktsiinidele </w:t>
      </w:r>
    </w:p>
    <w:p w14:paraId="56A5D003" w14:textId="77777777" w:rsidR="00657B60" w:rsidRPr="00BD662F" w:rsidRDefault="00A47C2E">
      <w:pPr>
        <w:numPr>
          <w:ilvl w:val="0"/>
          <w:numId w:val="4"/>
        </w:numPr>
        <w:spacing w:before="100" w:beforeAutospacing="1" w:after="100" w:afterAutospacing="1" w:line="336" w:lineRule="auto"/>
        <w:rPr>
          <w:rFonts w:eastAsia="Times New Roman" w:cs="Arial"/>
          <w:lang w:eastAsia="et-EE"/>
        </w:rPr>
      </w:pPr>
      <w:r w:rsidRPr="00BD662F">
        <w:rPr>
          <w:rFonts w:eastAsia="Times New Roman" w:cs="Arial"/>
          <w:lang w:eastAsia="et-EE"/>
        </w:rPr>
        <w:t>68</w:t>
      </w:r>
      <w:r w:rsidR="006A17A0" w:rsidRPr="00BD662F">
        <w:rPr>
          <w:rFonts w:eastAsia="Times New Roman" w:cs="Arial"/>
          <w:lang w:eastAsia="et-EE"/>
        </w:rPr>
        <w:t xml:space="preserve"> teatist </w:t>
      </w:r>
      <w:r w:rsidR="00B55360" w:rsidRPr="00BD662F">
        <w:rPr>
          <w:rFonts w:eastAsia="Times New Roman" w:cs="Arial"/>
          <w:lang w:eastAsia="et-EE"/>
        </w:rPr>
        <w:t xml:space="preserve">sisaldas </w:t>
      </w:r>
      <w:r w:rsidR="006A17A0" w:rsidRPr="00BD662F">
        <w:rPr>
          <w:rFonts w:eastAsia="Times New Roman" w:cs="Arial"/>
          <w:lang w:eastAsia="et-EE"/>
        </w:rPr>
        <w:t>(</w:t>
      </w:r>
      <w:r w:rsidRPr="00BD662F">
        <w:rPr>
          <w:rFonts w:eastAsia="Times New Roman" w:cs="Arial"/>
          <w:lang w:eastAsia="et-EE"/>
        </w:rPr>
        <w:t>37,6</w:t>
      </w:r>
      <w:r w:rsidR="006A17A0" w:rsidRPr="00BD662F">
        <w:rPr>
          <w:rFonts w:eastAsia="Times New Roman" w:cs="Arial"/>
          <w:lang w:eastAsia="et-EE"/>
        </w:rPr>
        <w:t>%) vähemalt ühte mittetõsist kõrvaltoimet (</w:t>
      </w:r>
      <w:r w:rsidRPr="00BD662F">
        <w:rPr>
          <w:rFonts w:eastAsia="Times New Roman" w:cs="Arial"/>
          <w:lang w:eastAsia="et-EE"/>
        </w:rPr>
        <w:t>34</w:t>
      </w:r>
      <w:r w:rsidR="006A17A0" w:rsidRPr="00BD662F">
        <w:rPr>
          <w:rFonts w:eastAsia="Times New Roman" w:cs="Arial"/>
          <w:lang w:eastAsia="et-EE"/>
        </w:rPr>
        <w:t xml:space="preserve"> teatist ravimitele ja </w:t>
      </w:r>
      <w:r w:rsidRPr="00BD662F">
        <w:rPr>
          <w:rFonts w:eastAsia="Times New Roman" w:cs="Arial"/>
          <w:lang w:eastAsia="et-EE"/>
        </w:rPr>
        <w:t>34</w:t>
      </w:r>
      <w:r w:rsidR="006A17A0" w:rsidRPr="00BD662F">
        <w:rPr>
          <w:rFonts w:eastAsia="Times New Roman" w:cs="Arial"/>
          <w:lang w:eastAsia="et-EE"/>
        </w:rPr>
        <w:t xml:space="preserve"> vaktsiinidele)</w:t>
      </w:r>
    </w:p>
    <w:p w14:paraId="3229EB51" w14:textId="77777777" w:rsidR="00657B60" w:rsidRPr="008500AB" w:rsidRDefault="006A17A0" w:rsidP="00BD662F">
      <w:pPr>
        <w:spacing w:before="100" w:beforeAutospacing="1" w:after="100" w:afterAutospacing="1" w:line="336" w:lineRule="auto"/>
        <w:rPr>
          <w:rFonts w:eastAsia="Times New Roman" w:cs="Arial"/>
          <w:color w:val="2B3244"/>
          <w:sz w:val="20"/>
          <w:szCs w:val="20"/>
          <w:lang w:eastAsia="et-EE"/>
        </w:rPr>
      </w:pPr>
      <w:bookmarkStart w:id="1" w:name="ravimite_tosised_korvaltoimed"/>
      <w:r w:rsidRPr="008500AB">
        <w:rPr>
          <w:rFonts w:eastAsia="Times New Roman" w:cs="Arial"/>
          <w:b/>
          <w:bCs/>
          <w:color w:val="2B3244"/>
          <w:sz w:val="27"/>
          <w:szCs w:val="27"/>
          <w:lang w:eastAsia="et-EE"/>
        </w:rPr>
        <w:t>Ravimite tõsised kõrvaltoimed</w:t>
      </w:r>
      <w:bookmarkEnd w:id="1"/>
    </w:p>
    <w:p w14:paraId="0D354F4E" w14:textId="77777777" w:rsidR="00657B60" w:rsidRPr="00BD662F" w:rsidRDefault="006A17A0" w:rsidP="00BD662F">
      <w:pPr>
        <w:spacing w:before="100" w:beforeAutospacing="1" w:after="100" w:afterAutospacing="1" w:line="336" w:lineRule="auto"/>
        <w:rPr>
          <w:rFonts w:eastAsia="Times New Roman" w:cs="Arial"/>
          <w:i/>
          <w:color w:val="2B3244"/>
          <w:lang w:eastAsia="et-EE"/>
        </w:rPr>
      </w:pPr>
      <w:r w:rsidRPr="00BD662F">
        <w:rPr>
          <w:rFonts w:eastAsia="Times New Roman" w:cs="Arial"/>
          <w:b/>
          <w:bCs/>
          <w:i/>
          <w:iCs/>
          <w:color w:val="2B3244"/>
          <w:lang w:eastAsia="et-EE"/>
        </w:rPr>
        <w:lastRenderedPageBreak/>
        <w:t>Tähelepanu!</w:t>
      </w:r>
      <w:r w:rsidRPr="00BD662F">
        <w:rPr>
          <w:rFonts w:eastAsia="Times New Roman" w:cs="Arial"/>
          <w:i/>
          <w:color w:val="2B3244"/>
          <w:lang w:eastAsia="et-EE"/>
        </w:rPr>
        <w:t xml:space="preserve"> </w:t>
      </w:r>
      <w:r w:rsidR="00D764A6" w:rsidRPr="00BD662F">
        <w:rPr>
          <w:rFonts w:eastAsia="Times New Roman" w:cs="Arial"/>
          <w:i/>
          <w:color w:val="2B3244"/>
          <w:lang w:eastAsia="et-EE"/>
        </w:rPr>
        <w:t xml:space="preserve">järgnevalt </w:t>
      </w:r>
      <w:r w:rsidRPr="00BD662F">
        <w:rPr>
          <w:rFonts w:eastAsia="Times New Roman" w:cs="Arial"/>
          <w:i/>
          <w:color w:val="2B3244"/>
          <w:lang w:eastAsia="et-EE"/>
        </w:rPr>
        <w:t xml:space="preserve">toodud võimalike kõrvaltoimete </w:t>
      </w:r>
      <w:r w:rsidR="00D764A6" w:rsidRPr="00BD662F">
        <w:rPr>
          <w:rFonts w:eastAsia="Times New Roman" w:cs="Arial"/>
          <w:i/>
          <w:color w:val="2B3244"/>
          <w:lang w:eastAsia="et-EE"/>
        </w:rPr>
        <w:t xml:space="preserve">ja ravimite vahelise seose </w:t>
      </w:r>
      <w:r w:rsidRPr="00BD662F">
        <w:rPr>
          <w:rFonts w:eastAsia="Times New Roman" w:cs="Arial"/>
          <w:i/>
          <w:color w:val="2B3244"/>
          <w:lang w:eastAsia="et-EE"/>
        </w:rPr>
        <w:t>interpreteerimisel peab olema ettevaatlik, sest mainitud kõrvaltoimed ei pruugi olla ravimist tingitud ning nende andmete põhjal ei tohi erinevaid ravimeid omavahel võrrelda.</w:t>
      </w:r>
    </w:p>
    <w:p w14:paraId="513024BF" w14:textId="77777777" w:rsidR="00657B60" w:rsidRPr="00BD662F" w:rsidRDefault="006A17A0" w:rsidP="00BD662F">
      <w:p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Kõrvaltoime teatises esitatud andmed ei pruugi olla piisavad reaktsiooni hindamiseks ja lõplike järelduste tegemiseks.</w:t>
      </w:r>
    </w:p>
    <w:p w14:paraId="3EFEA32E" w14:textId="77777777" w:rsidR="00657B60" w:rsidRPr="00BD662F" w:rsidRDefault="006A17A0" w:rsidP="00BD662F">
      <w:pPr>
        <w:spacing w:before="100" w:beforeAutospacing="1" w:after="100" w:afterAutospacing="1" w:line="336" w:lineRule="auto"/>
        <w:rPr>
          <w:rFonts w:eastAsia="Times New Roman" w:cs="Arial"/>
          <w:i/>
          <w:color w:val="2B3244"/>
          <w:lang w:eastAsia="et-EE"/>
        </w:rPr>
      </w:pPr>
      <w:r w:rsidRPr="00BD662F">
        <w:rPr>
          <w:rFonts w:eastAsia="Times New Roman" w:cs="Arial"/>
          <w:i/>
          <w:color w:val="2B3244"/>
          <w:lang w:eastAsia="et-EE"/>
        </w:rPr>
        <w:t>Ravimi kõrvaltoimetest teatamine sõltub paljudest teguritest, nt sellest, kui laialdaselt ravimit kasutatakse, kui pikaajaliselt on ravim juba kasutusel olnud, samuti meedia huvist ravimi vastu ja arstide suhtumisest teatiste saatmisse. Seetõttu kajastavad esitatud andmed ainult osa ravimi kasutamisel ilmnevatest kõrvaltoimetest ja ainult Eesti andmete alusel ei saa tuletada tegelikku kõrvaltoimete esinemissagedust.</w:t>
      </w:r>
    </w:p>
    <w:p w14:paraId="49C6F5D9" w14:textId="77777777" w:rsidR="00CE4F72" w:rsidRPr="00BD662F" w:rsidRDefault="006A17A0" w:rsidP="00BD662F">
      <w:pPr>
        <w:spacing w:before="100" w:beforeAutospacing="1" w:after="100" w:afterAutospacing="1" w:line="336" w:lineRule="auto"/>
        <w:rPr>
          <w:rFonts w:eastAsia="Times New Roman" w:cs="Arial"/>
          <w:b/>
          <w:color w:val="2B3244"/>
          <w:lang w:eastAsia="et-EE"/>
        </w:rPr>
      </w:pPr>
      <w:r w:rsidRPr="00BD662F">
        <w:rPr>
          <w:rFonts w:eastAsia="Times New Roman" w:cs="Arial"/>
          <w:b/>
          <w:color w:val="2B3244"/>
          <w:lang w:eastAsia="et-EE"/>
        </w:rPr>
        <w:t>Surmaga lõppenud reaktsioonid, mille puhul seost ravimi ja reaktsiooni vahel ei saa välistada</w:t>
      </w:r>
    </w:p>
    <w:p w14:paraId="70D27360" w14:textId="77777777" w:rsidR="00657B60" w:rsidRPr="00BD662F" w:rsidRDefault="006A17A0" w:rsidP="00BD662F">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201</w:t>
      </w:r>
      <w:r w:rsidR="00A47C2E" w:rsidRPr="00BD662F">
        <w:rPr>
          <w:rFonts w:eastAsia="Times New Roman" w:cs="Arial"/>
          <w:color w:val="2B3244"/>
          <w:lang w:eastAsia="et-EE"/>
        </w:rPr>
        <w:t>5</w:t>
      </w:r>
      <w:r w:rsidRPr="00BD662F">
        <w:rPr>
          <w:rFonts w:eastAsia="Times New Roman" w:cs="Arial"/>
          <w:color w:val="2B3244"/>
          <w:lang w:eastAsia="et-EE"/>
        </w:rPr>
        <w:t xml:space="preserve"> a. teatati </w:t>
      </w:r>
      <w:r w:rsidR="00A47C2E" w:rsidRPr="00BD662F">
        <w:rPr>
          <w:rFonts w:eastAsia="Times New Roman" w:cs="Arial"/>
          <w:color w:val="2B3244"/>
          <w:lang w:eastAsia="et-EE"/>
        </w:rPr>
        <w:t>12</w:t>
      </w:r>
      <w:r w:rsidRPr="00BD662F">
        <w:rPr>
          <w:rFonts w:eastAsia="Times New Roman" w:cs="Arial"/>
          <w:color w:val="2B3244"/>
          <w:lang w:eastAsia="et-EE"/>
        </w:rPr>
        <w:t xml:space="preserve"> korral </w:t>
      </w:r>
      <w:r w:rsidR="00E36503" w:rsidRPr="00BD662F">
        <w:rPr>
          <w:rFonts w:eastAsia="Times New Roman" w:cs="Arial"/>
          <w:color w:val="2B3244"/>
          <w:lang w:eastAsia="et-EE"/>
        </w:rPr>
        <w:t xml:space="preserve">surmaga lõppenud </w:t>
      </w:r>
      <w:r w:rsidRPr="00BD662F">
        <w:rPr>
          <w:rFonts w:eastAsia="Times New Roman" w:cs="Arial"/>
          <w:color w:val="2B3244"/>
          <w:lang w:eastAsia="et-EE"/>
        </w:rPr>
        <w:t>reaktsioonidest</w:t>
      </w:r>
      <w:r w:rsidR="00C47C32" w:rsidRPr="00BD662F">
        <w:rPr>
          <w:rFonts w:eastAsia="Times New Roman" w:cs="Arial"/>
          <w:color w:val="2B3244"/>
          <w:lang w:eastAsia="et-EE"/>
        </w:rPr>
        <w:t xml:space="preserve">, mille puhul seost ravimi ja reaktsiooni vahel ei saa välistada. </w:t>
      </w:r>
      <w:r w:rsidRPr="00BD662F">
        <w:rPr>
          <w:rFonts w:eastAsia="Times New Roman" w:cs="Arial"/>
          <w:color w:val="2B3244"/>
          <w:lang w:eastAsia="et-EE"/>
        </w:rPr>
        <w:t xml:space="preserve">Neist </w:t>
      </w:r>
      <w:r w:rsidR="00F75C7B" w:rsidRPr="00BD662F">
        <w:rPr>
          <w:rFonts w:eastAsia="Times New Roman" w:cs="Arial"/>
          <w:color w:val="2B3244"/>
          <w:lang w:eastAsia="et-EE"/>
        </w:rPr>
        <w:t>7</w:t>
      </w:r>
      <w:r w:rsidRPr="00BD662F">
        <w:rPr>
          <w:rFonts w:eastAsia="Times New Roman" w:cs="Arial"/>
          <w:color w:val="2B3244"/>
          <w:lang w:eastAsia="et-EE"/>
        </w:rPr>
        <w:t xml:space="preserve"> teatist </w:t>
      </w:r>
      <w:r w:rsidR="00F75C7B" w:rsidRPr="00BD662F">
        <w:rPr>
          <w:rFonts w:eastAsia="Times New Roman" w:cs="Arial"/>
          <w:color w:val="2B3244"/>
          <w:lang w:eastAsia="et-EE"/>
        </w:rPr>
        <w:t xml:space="preserve"> </w:t>
      </w:r>
      <w:r w:rsidRPr="00BD662F">
        <w:rPr>
          <w:rFonts w:eastAsia="Times New Roman" w:cs="Arial"/>
          <w:color w:val="2B3244"/>
          <w:lang w:eastAsia="et-EE"/>
        </w:rPr>
        <w:t>edastati m</w:t>
      </w:r>
      <w:r w:rsidR="00F75C7B" w:rsidRPr="00BD662F">
        <w:rPr>
          <w:rFonts w:eastAsia="Times New Roman" w:cs="Arial"/>
          <w:color w:val="2B3244"/>
          <w:lang w:eastAsia="et-EE"/>
        </w:rPr>
        <w:t>üügiloa hoidjate vahendusel ja 5</w:t>
      </w:r>
      <w:r w:rsidRPr="00BD662F">
        <w:rPr>
          <w:rFonts w:eastAsia="Times New Roman" w:cs="Arial"/>
          <w:color w:val="2B3244"/>
          <w:lang w:eastAsia="et-EE"/>
        </w:rPr>
        <w:t xml:space="preserve"> arstidelt. </w:t>
      </w:r>
    </w:p>
    <w:p w14:paraId="54A11925" w14:textId="77777777" w:rsidR="009275C5" w:rsidRPr="00BD662F" w:rsidRDefault="00F75C7B" w:rsidP="00BD662F">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7 teatist olid seotud tromboosivastaste ainete rühma kuuluvate ravimitega (2 </w:t>
      </w:r>
      <w:proofErr w:type="spellStart"/>
      <w:r w:rsidRPr="00BD662F">
        <w:rPr>
          <w:rFonts w:eastAsia="Times New Roman" w:cs="Arial"/>
          <w:color w:val="2B3244"/>
          <w:lang w:eastAsia="et-EE"/>
        </w:rPr>
        <w:t>dabigatraaneteksilaadile</w:t>
      </w:r>
      <w:proofErr w:type="spellEnd"/>
      <w:r w:rsidRPr="00BD662F">
        <w:rPr>
          <w:rFonts w:eastAsia="Times New Roman" w:cs="Arial"/>
          <w:color w:val="2B3244"/>
          <w:lang w:eastAsia="et-EE"/>
        </w:rPr>
        <w:t xml:space="preserve">, 2 </w:t>
      </w:r>
      <w:proofErr w:type="spellStart"/>
      <w:r w:rsidRPr="00BD662F">
        <w:rPr>
          <w:rFonts w:eastAsia="Times New Roman" w:cs="Arial"/>
          <w:color w:val="2B3244"/>
          <w:lang w:eastAsia="et-EE"/>
        </w:rPr>
        <w:t>varfariinile</w:t>
      </w:r>
      <w:proofErr w:type="spellEnd"/>
      <w:r w:rsidRPr="00BD662F">
        <w:rPr>
          <w:rFonts w:eastAsia="Times New Roman" w:cs="Arial"/>
          <w:color w:val="2B3244"/>
          <w:lang w:eastAsia="et-EE"/>
        </w:rPr>
        <w:t xml:space="preserve">, 2 </w:t>
      </w:r>
      <w:proofErr w:type="spellStart"/>
      <w:r w:rsidRPr="00BD662F">
        <w:rPr>
          <w:rFonts w:eastAsia="Times New Roman" w:cs="Arial"/>
          <w:color w:val="2B3244"/>
          <w:lang w:eastAsia="et-EE"/>
        </w:rPr>
        <w:t>naatriumenoksapariinile</w:t>
      </w:r>
      <w:proofErr w:type="spellEnd"/>
      <w:r w:rsidRPr="00BD662F">
        <w:rPr>
          <w:rFonts w:eastAsia="Times New Roman" w:cs="Arial"/>
          <w:color w:val="2B3244"/>
          <w:lang w:eastAsia="et-EE"/>
        </w:rPr>
        <w:t xml:space="preserve"> ja 1 </w:t>
      </w:r>
      <w:proofErr w:type="spellStart"/>
      <w:r w:rsidRPr="00BD662F">
        <w:rPr>
          <w:rFonts w:eastAsia="Times New Roman" w:cs="Arial"/>
          <w:color w:val="2B3244"/>
          <w:lang w:eastAsia="et-EE"/>
        </w:rPr>
        <w:t>apiksabaanile</w:t>
      </w:r>
      <w:proofErr w:type="spellEnd"/>
      <w:r w:rsidRPr="00BD662F">
        <w:rPr>
          <w:rFonts w:eastAsia="Times New Roman" w:cs="Arial"/>
          <w:color w:val="2B3244"/>
          <w:lang w:eastAsia="et-EE"/>
        </w:rPr>
        <w:t>)</w:t>
      </w:r>
      <w:r w:rsidR="00FE5D86" w:rsidRPr="00BD662F">
        <w:rPr>
          <w:rFonts w:eastAsia="Times New Roman" w:cs="Arial"/>
          <w:color w:val="2B3244"/>
          <w:lang w:eastAsia="et-EE"/>
        </w:rPr>
        <w:t xml:space="preserve">. </w:t>
      </w:r>
      <w:r w:rsidRPr="00BD662F">
        <w:rPr>
          <w:rFonts w:eastAsia="Times New Roman" w:cs="Arial"/>
          <w:color w:val="2B3244"/>
          <w:lang w:eastAsia="et-EE"/>
        </w:rPr>
        <w:t xml:space="preserve"> </w:t>
      </w:r>
      <w:r w:rsidR="009275C5" w:rsidRPr="00BD662F">
        <w:rPr>
          <w:rFonts w:eastAsia="Times New Roman" w:cs="Arial"/>
          <w:color w:val="2B3244"/>
          <w:lang w:eastAsia="et-EE"/>
        </w:rPr>
        <w:t xml:space="preserve">Enamusel surmaga lõppenud juhtudest oli tegemist raskes üldseisundis või tüsistunud raskete kaasuvate haigustega patsientidega, kelle raviks kasutati mitmeid tugevatoimelisi ravimeid. </w:t>
      </w:r>
    </w:p>
    <w:p w14:paraId="434E703D" w14:textId="77777777" w:rsidR="009275C5" w:rsidRDefault="009275C5" w:rsidP="00BD662F">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Esitatud üksikjuhtude põhjal ei saa ravimeid omavahel võrrelda ega põhjapanevaid järeldusi teha. </w:t>
      </w:r>
    </w:p>
    <w:p w14:paraId="05036FEE" w14:textId="77777777" w:rsidR="00FD4BF9" w:rsidRPr="008932F0" w:rsidRDefault="00FD4BF9" w:rsidP="00FD4BF9">
      <w:pPr>
        <w:spacing w:before="100" w:beforeAutospacing="1" w:after="100" w:afterAutospacing="1" w:line="336" w:lineRule="auto"/>
        <w:rPr>
          <w:rFonts w:eastAsia="Times New Roman" w:cs="Arial"/>
          <w:sz w:val="20"/>
          <w:szCs w:val="20"/>
          <w:highlight w:val="yellow"/>
          <w:lang w:eastAsia="et-EE"/>
        </w:rPr>
      </w:pPr>
      <w:proofErr w:type="spellStart"/>
      <w:r w:rsidRPr="008932F0">
        <w:rPr>
          <w:rFonts w:eastAsia="Times New Roman" w:cs="Arial"/>
          <w:sz w:val="20"/>
          <w:szCs w:val="20"/>
          <w:highlight w:val="yellow"/>
          <w:lang w:eastAsia="et-EE"/>
        </w:rPr>
        <w:t>Dabigatraaneteksilaat</w:t>
      </w:r>
      <w:proofErr w:type="spellEnd"/>
    </w:p>
    <w:p w14:paraId="6FE9B308"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70-aastane naispatsient sai </w:t>
      </w:r>
      <w:proofErr w:type="spellStart"/>
      <w:r w:rsidRPr="008932F0">
        <w:rPr>
          <w:rFonts w:eastAsia="Times New Roman" w:cs="Arial"/>
          <w:sz w:val="20"/>
          <w:szCs w:val="20"/>
          <w:highlight w:val="yellow"/>
          <w:lang w:eastAsia="et-EE"/>
        </w:rPr>
        <w:t>dabigatraani</w:t>
      </w:r>
      <w:proofErr w:type="spellEnd"/>
      <w:r w:rsidRPr="008932F0">
        <w:rPr>
          <w:rFonts w:eastAsia="Times New Roman" w:cs="Arial"/>
          <w:sz w:val="20"/>
          <w:szCs w:val="20"/>
          <w:highlight w:val="yellow"/>
          <w:lang w:eastAsia="et-EE"/>
        </w:rPr>
        <w:t xml:space="preserve"> kodade virvendusarütmia tõttu alates 2014 a. detsembrist, eelnevalt oli saanud ravi </w:t>
      </w:r>
      <w:proofErr w:type="spellStart"/>
      <w:r w:rsidRPr="008932F0">
        <w:rPr>
          <w:rFonts w:eastAsia="Times New Roman" w:cs="Arial"/>
          <w:sz w:val="20"/>
          <w:szCs w:val="20"/>
          <w:highlight w:val="yellow"/>
          <w:lang w:eastAsia="et-EE"/>
        </w:rPr>
        <w:t>varfariiniga</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Dabigatraanravi</w:t>
      </w:r>
      <w:proofErr w:type="spellEnd"/>
      <w:r w:rsidRPr="008932F0">
        <w:rPr>
          <w:rFonts w:eastAsia="Times New Roman" w:cs="Arial"/>
          <w:sz w:val="20"/>
          <w:szCs w:val="20"/>
          <w:highlight w:val="yellow"/>
          <w:lang w:eastAsia="et-EE"/>
        </w:rPr>
        <w:t xml:space="preserve"> ajal tekkis surmaga lõppenud verejooks. Kaasuvate haigustena esinesid diabeet ja podagra;  kaasuvad ravimid olid insuliin, </w:t>
      </w:r>
      <w:proofErr w:type="spellStart"/>
      <w:r w:rsidRPr="008932F0">
        <w:rPr>
          <w:rFonts w:eastAsia="Times New Roman" w:cs="Arial"/>
          <w:sz w:val="20"/>
          <w:szCs w:val="20"/>
          <w:highlight w:val="yellow"/>
          <w:lang w:eastAsia="et-EE"/>
        </w:rPr>
        <w:t>diklofenak</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atorvastatiin</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pantoprasool</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metoprolool</w:t>
      </w:r>
      <w:proofErr w:type="spellEnd"/>
      <w:r w:rsidRPr="008932F0">
        <w:rPr>
          <w:rFonts w:eastAsia="Times New Roman" w:cs="Arial"/>
          <w:sz w:val="20"/>
          <w:szCs w:val="20"/>
          <w:highlight w:val="yellow"/>
          <w:lang w:eastAsia="et-EE"/>
        </w:rPr>
        <w:t xml:space="preserve">. Seost </w:t>
      </w:r>
      <w:proofErr w:type="spellStart"/>
      <w:r w:rsidRPr="008932F0">
        <w:rPr>
          <w:rFonts w:eastAsia="Times New Roman" w:cs="Arial"/>
          <w:sz w:val="20"/>
          <w:szCs w:val="20"/>
          <w:highlight w:val="yellow"/>
          <w:lang w:eastAsia="et-EE"/>
        </w:rPr>
        <w:t>dabigatraaniga</w:t>
      </w:r>
      <w:proofErr w:type="spellEnd"/>
      <w:r w:rsidRPr="008932F0">
        <w:rPr>
          <w:rFonts w:eastAsia="Times New Roman" w:cs="Arial"/>
          <w:sz w:val="20"/>
          <w:szCs w:val="20"/>
          <w:highlight w:val="yellow"/>
          <w:lang w:eastAsia="et-EE"/>
        </w:rPr>
        <w:t xml:space="preserve"> ei saa välistada. </w:t>
      </w:r>
    </w:p>
    <w:p w14:paraId="7386353C"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68-aaastane naispatsient sai </w:t>
      </w:r>
      <w:proofErr w:type="spellStart"/>
      <w:r w:rsidRPr="008932F0">
        <w:rPr>
          <w:rFonts w:eastAsia="Times New Roman" w:cs="Arial"/>
          <w:sz w:val="20"/>
          <w:szCs w:val="20"/>
          <w:highlight w:val="yellow"/>
          <w:lang w:eastAsia="et-EE"/>
        </w:rPr>
        <w:t>dabigatraani</w:t>
      </w:r>
      <w:proofErr w:type="spellEnd"/>
      <w:r w:rsidRPr="008932F0">
        <w:rPr>
          <w:rFonts w:eastAsia="Times New Roman" w:cs="Arial"/>
          <w:sz w:val="20"/>
          <w:szCs w:val="20"/>
          <w:highlight w:val="yellow"/>
          <w:lang w:eastAsia="et-EE"/>
        </w:rPr>
        <w:t xml:space="preserve"> kodade virvendusarütmia ja </w:t>
      </w:r>
      <w:proofErr w:type="spellStart"/>
      <w:r w:rsidRPr="008932F0">
        <w:rPr>
          <w:rFonts w:eastAsia="Times New Roman" w:cs="Arial"/>
          <w:sz w:val="20"/>
          <w:szCs w:val="20"/>
          <w:highlight w:val="yellow"/>
          <w:lang w:eastAsia="et-EE"/>
        </w:rPr>
        <w:t>pulmonaalembolismi</w:t>
      </w:r>
      <w:proofErr w:type="spellEnd"/>
      <w:r w:rsidRPr="008932F0">
        <w:rPr>
          <w:rFonts w:eastAsia="Times New Roman" w:cs="Arial"/>
          <w:sz w:val="20"/>
          <w:szCs w:val="20"/>
          <w:highlight w:val="yellow"/>
          <w:lang w:eastAsia="et-EE"/>
        </w:rPr>
        <w:t xml:space="preserve"> tõttu. Patsiendil tekkis ninaverejooks, mis hinnati mittetõsiseks; ravi </w:t>
      </w:r>
      <w:proofErr w:type="spellStart"/>
      <w:r w:rsidRPr="008932F0">
        <w:rPr>
          <w:rFonts w:eastAsia="Times New Roman" w:cs="Arial"/>
          <w:sz w:val="20"/>
          <w:szCs w:val="20"/>
          <w:highlight w:val="yellow"/>
          <w:lang w:eastAsia="et-EE"/>
        </w:rPr>
        <w:t>dabigatraaniga</w:t>
      </w:r>
      <w:proofErr w:type="spellEnd"/>
      <w:r w:rsidRPr="008932F0">
        <w:rPr>
          <w:rFonts w:eastAsia="Times New Roman" w:cs="Arial"/>
          <w:sz w:val="20"/>
          <w:szCs w:val="20"/>
          <w:highlight w:val="yellow"/>
          <w:lang w:eastAsia="et-EE"/>
        </w:rPr>
        <w:t xml:space="preserve"> lõpetati ja asendati </w:t>
      </w:r>
      <w:proofErr w:type="spellStart"/>
      <w:r w:rsidRPr="008932F0">
        <w:rPr>
          <w:rFonts w:eastAsia="Times New Roman" w:cs="Arial"/>
          <w:sz w:val="20"/>
          <w:szCs w:val="20"/>
          <w:highlight w:val="yellow"/>
          <w:lang w:eastAsia="et-EE"/>
        </w:rPr>
        <w:t>enoksapariiniga</w:t>
      </w:r>
      <w:proofErr w:type="spellEnd"/>
      <w:r w:rsidRPr="008932F0">
        <w:rPr>
          <w:rFonts w:eastAsia="Times New Roman" w:cs="Arial"/>
          <w:sz w:val="20"/>
          <w:szCs w:val="20"/>
          <w:highlight w:val="yellow"/>
          <w:lang w:eastAsia="et-EE"/>
        </w:rPr>
        <w:t xml:space="preserve">. Samal päeval tekkis patsiendil surmaga lõppenud ajuhemorraagia. Kaasuvateks ravimiteks olid </w:t>
      </w:r>
      <w:proofErr w:type="spellStart"/>
      <w:r w:rsidRPr="008932F0">
        <w:rPr>
          <w:rFonts w:eastAsia="Times New Roman" w:cs="Arial"/>
          <w:sz w:val="20"/>
          <w:szCs w:val="20"/>
          <w:highlight w:val="yellow"/>
          <w:lang w:eastAsia="et-EE"/>
        </w:rPr>
        <w:t>digoksiin</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karvedilool</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ramipriil</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torasemiid</w:t>
      </w:r>
      <w:proofErr w:type="spellEnd"/>
      <w:r w:rsidRPr="008932F0">
        <w:rPr>
          <w:rFonts w:eastAsia="Times New Roman" w:cs="Arial"/>
          <w:sz w:val="20"/>
          <w:szCs w:val="20"/>
          <w:highlight w:val="yellow"/>
          <w:lang w:eastAsia="et-EE"/>
        </w:rPr>
        <w:t xml:space="preserve">. Seost </w:t>
      </w:r>
      <w:proofErr w:type="spellStart"/>
      <w:r w:rsidRPr="008932F0">
        <w:rPr>
          <w:rFonts w:eastAsia="Times New Roman" w:cs="Arial"/>
          <w:sz w:val="20"/>
          <w:szCs w:val="20"/>
          <w:highlight w:val="yellow"/>
          <w:lang w:eastAsia="et-EE"/>
        </w:rPr>
        <w:t>dabigatraaniga</w:t>
      </w:r>
      <w:proofErr w:type="spellEnd"/>
      <w:r w:rsidRPr="008932F0">
        <w:rPr>
          <w:rFonts w:eastAsia="Times New Roman" w:cs="Arial"/>
          <w:sz w:val="20"/>
          <w:szCs w:val="20"/>
          <w:highlight w:val="yellow"/>
          <w:lang w:eastAsia="et-EE"/>
        </w:rPr>
        <w:t xml:space="preserve"> ei saa välistada. </w:t>
      </w:r>
    </w:p>
    <w:p w14:paraId="7EB53E3F" w14:textId="77777777" w:rsidR="00FD4BF9" w:rsidRPr="008932F0" w:rsidRDefault="00FD4BF9" w:rsidP="00FD4BF9">
      <w:pPr>
        <w:spacing w:before="100" w:beforeAutospacing="1" w:after="100" w:afterAutospacing="1" w:line="336" w:lineRule="auto"/>
        <w:rPr>
          <w:rFonts w:eastAsia="Times New Roman" w:cs="Arial"/>
          <w:sz w:val="20"/>
          <w:szCs w:val="20"/>
          <w:highlight w:val="yellow"/>
          <w:lang w:eastAsia="et-EE"/>
        </w:rPr>
      </w:pPr>
      <w:proofErr w:type="spellStart"/>
      <w:r w:rsidRPr="008932F0">
        <w:rPr>
          <w:rFonts w:eastAsia="Times New Roman" w:cs="Arial"/>
          <w:sz w:val="20"/>
          <w:szCs w:val="20"/>
          <w:highlight w:val="yellow"/>
          <w:lang w:eastAsia="et-EE"/>
        </w:rPr>
        <w:t>Varfariin</w:t>
      </w:r>
      <w:proofErr w:type="spellEnd"/>
    </w:p>
    <w:p w14:paraId="0A21F60B"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76-aastane meespatsient kasutas </w:t>
      </w:r>
      <w:proofErr w:type="spellStart"/>
      <w:r w:rsidRPr="008932F0">
        <w:rPr>
          <w:rFonts w:eastAsia="Times New Roman" w:cs="Arial"/>
          <w:sz w:val="20"/>
          <w:szCs w:val="20"/>
          <w:highlight w:val="yellow"/>
          <w:lang w:eastAsia="et-EE"/>
        </w:rPr>
        <w:t>varfariini</w:t>
      </w:r>
      <w:proofErr w:type="spellEnd"/>
      <w:r w:rsidRPr="008932F0">
        <w:rPr>
          <w:rFonts w:eastAsia="Times New Roman" w:cs="Arial"/>
          <w:sz w:val="20"/>
          <w:szCs w:val="20"/>
          <w:highlight w:val="yellow"/>
          <w:lang w:eastAsia="et-EE"/>
        </w:rPr>
        <w:t xml:space="preserve"> teadmata ajast (vähemalt 1 aasta vältel), teadmata annuses (vastavalt INR väärtustele) müokardiinfarkti, virvendusarütmia ja ajuinfarkti tõttu. Patsiendil tekkis hemorraagiline sündroom (hematuuria, veri kõhuõõnes, sooleseina hemorraagiline nekroos), </w:t>
      </w:r>
      <w:r w:rsidRPr="008932F0">
        <w:rPr>
          <w:rFonts w:eastAsia="Times New Roman" w:cs="Arial"/>
          <w:sz w:val="20"/>
          <w:szCs w:val="20"/>
          <w:highlight w:val="yellow"/>
          <w:lang w:eastAsia="et-EE"/>
        </w:rPr>
        <w:lastRenderedPageBreak/>
        <w:t xml:space="preserve">INR oli mõõtmatu. Patsient sai haiglas raviks </w:t>
      </w:r>
      <w:proofErr w:type="spellStart"/>
      <w:r w:rsidRPr="008932F0">
        <w:rPr>
          <w:rFonts w:eastAsia="Times New Roman" w:cs="Arial"/>
          <w:sz w:val="20"/>
          <w:szCs w:val="20"/>
          <w:highlight w:val="yellow"/>
          <w:lang w:eastAsia="et-EE"/>
        </w:rPr>
        <w:t>konakiooni</w:t>
      </w:r>
      <w:proofErr w:type="spellEnd"/>
      <w:r w:rsidRPr="008932F0">
        <w:rPr>
          <w:rFonts w:eastAsia="Times New Roman" w:cs="Arial"/>
          <w:sz w:val="20"/>
          <w:szCs w:val="20"/>
          <w:highlight w:val="yellow"/>
          <w:lang w:eastAsia="et-EE"/>
        </w:rPr>
        <w:t xml:space="preserve"> ja värskelt külmutatud plasmat, kuid suri. Seost </w:t>
      </w:r>
      <w:proofErr w:type="spellStart"/>
      <w:r w:rsidRPr="008932F0">
        <w:rPr>
          <w:rFonts w:eastAsia="Times New Roman" w:cs="Arial"/>
          <w:sz w:val="20"/>
          <w:szCs w:val="20"/>
          <w:highlight w:val="yellow"/>
          <w:lang w:eastAsia="et-EE"/>
        </w:rPr>
        <w:t>varfariiniga</w:t>
      </w:r>
      <w:proofErr w:type="spellEnd"/>
      <w:r w:rsidRPr="008932F0">
        <w:rPr>
          <w:rFonts w:eastAsia="Times New Roman" w:cs="Arial"/>
          <w:sz w:val="20"/>
          <w:szCs w:val="20"/>
          <w:highlight w:val="yellow"/>
          <w:lang w:eastAsia="et-EE"/>
        </w:rPr>
        <w:t xml:space="preserve"> ei saa välistada.</w:t>
      </w:r>
    </w:p>
    <w:p w14:paraId="53E8C0E9"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75-aastane meespatsient kasutas kodade virvendusarütmia tõttu </w:t>
      </w:r>
      <w:proofErr w:type="spellStart"/>
      <w:r w:rsidRPr="008932F0">
        <w:rPr>
          <w:rFonts w:eastAsia="Times New Roman" w:cs="Arial"/>
          <w:sz w:val="20"/>
          <w:szCs w:val="20"/>
          <w:highlight w:val="yellow"/>
          <w:lang w:eastAsia="et-EE"/>
        </w:rPr>
        <w:t>varfariini</w:t>
      </w:r>
      <w:proofErr w:type="spellEnd"/>
      <w:r w:rsidRPr="008932F0">
        <w:rPr>
          <w:rFonts w:eastAsia="Times New Roman" w:cs="Arial"/>
          <w:sz w:val="20"/>
          <w:szCs w:val="20"/>
          <w:highlight w:val="yellow"/>
          <w:lang w:eastAsia="et-EE"/>
        </w:rPr>
        <w:t xml:space="preserve">. Patsiendil esinesid kaasuvana hüpertooniatõbi ja podagra, mille tõttu kasutas </w:t>
      </w:r>
      <w:proofErr w:type="spellStart"/>
      <w:r w:rsidRPr="008932F0">
        <w:rPr>
          <w:rFonts w:eastAsia="Times New Roman" w:cs="Arial"/>
          <w:sz w:val="20"/>
          <w:szCs w:val="20"/>
          <w:highlight w:val="yellow"/>
          <w:lang w:eastAsia="et-EE"/>
        </w:rPr>
        <w:t>telmisartaani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allopurinooli</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bisoprolooli</w:t>
      </w:r>
      <w:proofErr w:type="spellEnd"/>
      <w:r w:rsidRPr="008932F0">
        <w:rPr>
          <w:rFonts w:eastAsia="Times New Roman" w:cs="Arial"/>
          <w:sz w:val="20"/>
          <w:szCs w:val="20"/>
          <w:highlight w:val="yellow"/>
          <w:lang w:eastAsia="et-EE"/>
        </w:rPr>
        <w:t xml:space="preserve">. 9 kuud pärast </w:t>
      </w:r>
      <w:proofErr w:type="spellStart"/>
      <w:r w:rsidRPr="008932F0">
        <w:rPr>
          <w:rFonts w:eastAsia="Times New Roman" w:cs="Arial"/>
          <w:sz w:val="20"/>
          <w:szCs w:val="20"/>
          <w:highlight w:val="yellow"/>
          <w:lang w:eastAsia="et-EE"/>
        </w:rPr>
        <w:t>varfariinravi</w:t>
      </w:r>
      <w:proofErr w:type="spellEnd"/>
      <w:r w:rsidRPr="008932F0">
        <w:rPr>
          <w:rFonts w:eastAsia="Times New Roman" w:cs="Arial"/>
          <w:sz w:val="20"/>
          <w:szCs w:val="20"/>
          <w:highlight w:val="yellow"/>
          <w:lang w:eastAsia="et-EE"/>
        </w:rPr>
        <w:t xml:space="preserve"> alustamist kaotas patsient teadvuse ja hospitaliseeriti kiirabiga. KT uuringu põhjal diagnoositi ulatuslik ajusisene verevalum läbimurdumisega vatsakeste süsteemi. Patsient oli haiglas komatoosses, üliraskes seisundis; sai sümptomaatilist ravi, suri. Kõrvaltoime teket võis soodustada hüpertooniatõbi, kuid seost </w:t>
      </w:r>
      <w:proofErr w:type="spellStart"/>
      <w:r w:rsidRPr="008932F0">
        <w:rPr>
          <w:rFonts w:eastAsia="Times New Roman" w:cs="Arial"/>
          <w:sz w:val="20"/>
          <w:szCs w:val="20"/>
          <w:highlight w:val="yellow"/>
          <w:lang w:eastAsia="et-EE"/>
        </w:rPr>
        <w:t>varfariiniga</w:t>
      </w:r>
      <w:proofErr w:type="spellEnd"/>
      <w:r w:rsidRPr="008932F0">
        <w:rPr>
          <w:rFonts w:eastAsia="Times New Roman" w:cs="Arial"/>
          <w:sz w:val="20"/>
          <w:szCs w:val="20"/>
          <w:highlight w:val="yellow"/>
          <w:lang w:eastAsia="et-EE"/>
        </w:rPr>
        <w:t xml:space="preserve"> ei saa välistada . </w:t>
      </w:r>
    </w:p>
    <w:p w14:paraId="233D9E56" w14:textId="77777777" w:rsidR="00FD4BF9" w:rsidRPr="008932F0" w:rsidRDefault="00FD4BF9" w:rsidP="00FD4BF9">
      <w:pPr>
        <w:spacing w:before="100" w:beforeAutospacing="1" w:after="100" w:afterAutospacing="1" w:line="336" w:lineRule="auto"/>
        <w:rPr>
          <w:rFonts w:eastAsia="Times New Roman" w:cs="Arial"/>
          <w:sz w:val="20"/>
          <w:szCs w:val="20"/>
          <w:highlight w:val="yellow"/>
          <w:lang w:eastAsia="et-EE"/>
        </w:rPr>
      </w:pPr>
      <w:proofErr w:type="spellStart"/>
      <w:r w:rsidRPr="008932F0">
        <w:rPr>
          <w:rFonts w:eastAsia="Times New Roman" w:cs="Arial"/>
          <w:sz w:val="20"/>
          <w:szCs w:val="20"/>
          <w:highlight w:val="yellow"/>
          <w:lang w:eastAsia="et-EE"/>
        </w:rPr>
        <w:t>Naatriumenoksapariin</w:t>
      </w:r>
      <w:proofErr w:type="spellEnd"/>
    </w:p>
    <w:p w14:paraId="0DF00E1B"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64-aastane meespatsient sai südamelihase infarkti tõttu antikoagulantravi, lisaks kasutas </w:t>
      </w:r>
      <w:proofErr w:type="spellStart"/>
      <w:r w:rsidRPr="008932F0">
        <w:rPr>
          <w:rFonts w:eastAsia="Times New Roman" w:cs="Arial"/>
          <w:sz w:val="20"/>
          <w:szCs w:val="20"/>
          <w:highlight w:val="yellow"/>
          <w:lang w:eastAsia="et-EE"/>
        </w:rPr>
        <w:t>atsetüülsalitsüülhapet</w:t>
      </w:r>
      <w:proofErr w:type="spellEnd"/>
      <w:r w:rsidRPr="008932F0">
        <w:rPr>
          <w:rFonts w:eastAsia="Times New Roman" w:cs="Arial"/>
          <w:sz w:val="20"/>
          <w:szCs w:val="20"/>
          <w:highlight w:val="yellow"/>
          <w:lang w:eastAsia="et-EE"/>
        </w:rPr>
        <w:t xml:space="preserve">. Antikoagulantravi kasutamise kestus on teadmata. Patsiendil tekkis teadvushäire, mille tõttu ta hospitaliseeriti. KT-uuringul diagnoositi </w:t>
      </w:r>
      <w:proofErr w:type="spellStart"/>
      <w:r w:rsidRPr="008932F0">
        <w:rPr>
          <w:rFonts w:eastAsia="Times New Roman" w:cs="Arial"/>
          <w:sz w:val="20"/>
          <w:szCs w:val="20"/>
          <w:highlight w:val="yellow"/>
          <w:lang w:eastAsia="et-EE"/>
        </w:rPr>
        <w:t>intratserebraalne</w:t>
      </w:r>
      <w:proofErr w:type="spellEnd"/>
      <w:r w:rsidRPr="008932F0">
        <w:rPr>
          <w:rFonts w:eastAsia="Times New Roman" w:cs="Arial"/>
          <w:sz w:val="20"/>
          <w:szCs w:val="20"/>
          <w:highlight w:val="yellow"/>
          <w:lang w:eastAsia="et-EE"/>
        </w:rPr>
        <w:t xml:space="preserve"> hemorraagia murdumisega vatsakestesse. Patsient suri 2 päeva pärast hospitaliseerimist. </w:t>
      </w:r>
    </w:p>
    <w:p w14:paraId="4D59D283"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83-aastane naispatsient sai antikoagulantravi trombemboolia vältimiseks varem läbipõetud ajuinfarkti ja </w:t>
      </w:r>
      <w:proofErr w:type="spellStart"/>
      <w:r w:rsidRPr="008932F0">
        <w:rPr>
          <w:rFonts w:eastAsia="Times New Roman" w:cs="Arial"/>
          <w:sz w:val="20"/>
          <w:szCs w:val="20"/>
          <w:highlight w:val="yellow"/>
          <w:lang w:eastAsia="et-EE"/>
        </w:rPr>
        <w:t>paroksüsmaalse</w:t>
      </w:r>
      <w:proofErr w:type="spellEnd"/>
      <w:r w:rsidRPr="008932F0">
        <w:rPr>
          <w:rFonts w:eastAsia="Times New Roman" w:cs="Arial"/>
          <w:sz w:val="20"/>
          <w:szCs w:val="20"/>
          <w:highlight w:val="yellow"/>
          <w:lang w:eastAsia="et-EE"/>
        </w:rPr>
        <w:t xml:space="preserve"> virvendusarütmia tõttu. Patsient kasutas lisaks </w:t>
      </w:r>
      <w:proofErr w:type="spellStart"/>
      <w:r w:rsidRPr="008932F0">
        <w:rPr>
          <w:rFonts w:eastAsia="Times New Roman" w:cs="Arial"/>
          <w:sz w:val="20"/>
          <w:szCs w:val="20"/>
          <w:highlight w:val="yellow"/>
          <w:lang w:eastAsia="et-EE"/>
        </w:rPr>
        <w:t>atsetüülsalitsüülhapet</w:t>
      </w:r>
      <w:proofErr w:type="spellEnd"/>
      <w:r w:rsidRPr="008932F0">
        <w:rPr>
          <w:rFonts w:eastAsia="Times New Roman" w:cs="Arial"/>
          <w:sz w:val="20"/>
          <w:szCs w:val="20"/>
          <w:highlight w:val="yellow"/>
          <w:lang w:eastAsia="et-EE"/>
        </w:rPr>
        <w:t xml:space="preserve">. 3 päeva pärast antikoagulantravi algust diagnoositi KT-uuringu põhjal ulatuslik </w:t>
      </w:r>
      <w:proofErr w:type="spellStart"/>
      <w:r w:rsidRPr="008932F0">
        <w:rPr>
          <w:rFonts w:eastAsia="Times New Roman" w:cs="Arial"/>
          <w:sz w:val="20"/>
          <w:szCs w:val="20"/>
          <w:highlight w:val="yellow"/>
          <w:lang w:eastAsia="et-EE"/>
        </w:rPr>
        <w:t>subduraalne</w:t>
      </w:r>
      <w:proofErr w:type="spellEnd"/>
      <w:r w:rsidRPr="008932F0">
        <w:rPr>
          <w:rFonts w:eastAsia="Times New Roman" w:cs="Arial"/>
          <w:sz w:val="20"/>
          <w:szCs w:val="20"/>
          <w:highlight w:val="yellow"/>
          <w:lang w:eastAsia="et-EE"/>
        </w:rPr>
        <w:t xml:space="preserve"> hematoom bilateraalselt. Patsient suri. Patsiendil esinesid ka teised hematoomi riskifaktorid: hüpertensioon, korduvad kukkumised, kõrge iga), kuid ei saa välistada seost antikoagulantraviga. </w:t>
      </w:r>
    </w:p>
    <w:p w14:paraId="09EDC7FB" w14:textId="77777777" w:rsidR="00FD4BF9" w:rsidRPr="008932F0" w:rsidRDefault="00FD4BF9" w:rsidP="00FD4BF9">
      <w:pPr>
        <w:spacing w:before="100" w:beforeAutospacing="1" w:after="100" w:afterAutospacing="1" w:line="336" w:lineRule="auto"/>
        <w:rPr>
          <w:rFonts w:eastAsia="Times New Roman" w:cs="Arial"/>
          <w:sz w:val="20"/>
          <w:szCs w:val="20"/>
          <w:highlight w:val="yellow"/>
          <w:lang w:eastAsia="et-EE"/>
        </w:rPr>
      </w:pPr>
      <w:proofErr w:type="spellStart"/>
      <w:r w:rsidRPr="008932F0">
        <w:rPr>
          <w:rFonts w:eastAsia="Times New Roman" w:cs="Arial"/>
          <w:sz w:val="20"/>
          <w:szCs w:val="20"/>
          <w:highlight w:val="yellow"/>
          <w:lang w:eastAsia="et-EE"/>
        </w:rPr>
        <w:t>Apiksabaan</w:t>
      </w:r>
      <w:proofErr w:type="spellEnd"/>
    </w:p>
    <w:p w14:paraId="021D9A3D"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84-aastane naispatsient sai </w:t>
      </w:r>
      <w:proofErr w:type="spellStart"/>
      <w:r w:rsidRPr="008932F0">
        <w:rPr>
          <w:rFonts w:eastAsia="Times New Roman" w:cs="Arial"/>
          <w:sz w:val="20"/>
          <w:szCs w:val="20"/>
          <w:highlight w:val="yellow"/>
          <w:lang w:eastAsia="et-EE"/>
        </w:rPr>
        <w:t>apiksabaani</w:t>
      </w:r>
      <w:proofErr w:type="spellEnd"/>
      <w:r w:rsidRPr="008932F0">
        <w:rPr>
          <w:rFonts w:eastAsia="Times New Roman" w:cs="Arial"/>
          <w:sz w:val="20"/>
          <w:szCs w:val="20"/>
          <w:highlight w:val="yellow"/>
          <w:lang w:eastAsia="et-EE"/>
        </w:rPr>
        <w:t xml:space="preserve"> teadmata näidustusel. 8 kuud hiljem tekkis ajuhemorraagia. </w:t>
      </w:r>
      <w:proofErr w:type="spellStart"/>
      <w:r w:rsidRPr="008932F0">
        <w:rPr>
          <w:rFonts w:eastAsia="Times New Roman" w:cs="Arial"/>
          <w:sz w:val="20"/>
          <w:szCs w:val="20"/>
          <w:highlight w:val="yellow"/>
          <w:lang w:eastAsia="et-EE"/>
        </w:rPr>
        <w:t>Apiksabaanravi</w:t>
      </w:r>
      <w:proofErr w:type="spellEnd"/>
      <w:r w:rsidRPr="008932F0">
        <w:rPr>
          <w:rFonts w:eastAsia="Times New Roman" w:cs="Arial"/>
          <w:sz w:val="20"/>
          <w:szCs w:val="20"/>
          <w:highlight w:val="yellow"/>
          <w:lang w:eastAsia="et-EE"/>
        </w:rPr>
        <w:t xml:space="preserve"> lõpetati, kuid patsient suri mõne päeva pärast. Andmed on selle juhtumi puhul puudulikud, kuid </w:t>
      </w:r>
      <w:proofErr w:type="spellStart"/>
      <w:r w:rsidRPr="008932F0">
        <w:rPr>
          <w:rFonts w:eastAsia="Times New Roman" w:cs="Arial"/>
          <w:sz w:val="20"/>
          <w:szCs w:val="20"/>
          <w:highlight w:val="yellow"/>
          <w:lang w:eastAsia="et-EE"/>
        </w:rPr>
        <w:t>antikoagulatiivse</w:t>
      </w:r>
      <w:proofErr w:type="spellEnd"/>
      <w:r w:rsidRPr="008932F0">
        <w:rPr>
          <w:rFonts w:eastAsia="Times New Roman" w:cs="Arial"/>
          <w:sz w:val="20"/>
          <w:szCs w:val="20"/>
          <w:highlight w:val="yellow"/>
          <w:lang w:eastAsia="et-EE"/>
        </w:rPr>
        <w:t xml:space="preserve"> toime tõttu ei saa seost </w:t>
      </w:r>
      <w:proofErr w:type="spellStart"/>
      <w:r w:rsidRPr="008932F0">
        <w:rPr>
          <w:rFonts w:eastAsia="Times New Roman" w:cs="Arial"/>
          <w:sz w:val="20"/>
          <w:szCs w:val="20"/>
          <w:highlight w:val="yellow"/>
          <w:lang w:eastAsia="et-EE"/>
        </w:rPr>
        <w:t>apiksabaaniga</w:t>
      </w:r>
      <w:proofErr w:type="spellEnd"/>
      <w:r w:rsidRPr="008932F0">
        <w:rPr>
          <w:rFonts w:eastAsia="Times New Roman" w:cs="Arial"/>
          <w:sz w:val="20"/>
          <w:szCs w:val="20"/>
          <w:highlight w:val="yellow"/>
          <w:lang w:eastAsia="et-EE"/>
        </w:rPr>
        <w:t xml:space="preserve"> välistada. </w:t>
      </w:r>
    </w:p>
    <w:p w14:paraId="44B2D686"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Teadusartiklil põhinev surmaga lõppenud teatis paljude epilepsiaravimite foonil tekkinud </w:t>
      </w:r>
      <w:proofErr w:type="spellStart"/>
      <w:r w:rsidRPr="008932F0">
        <w:rPr>
          <w:rFonts w:eastAsia="Times New Roman" w:cs="Arial"/>
          <w:sz w:val="20"/>
          <w:szCs w:val="20"/>
          <w:highlight w:val="yellow"/>
          <w:lang w:eastAsia="et-EE"/>
        </w:rPr>
        <w:t>ravirefraktaarsete</w:t>
      </w:r>
      <w:proofErr w:type="spellEnd"/>
      <w:r w:rsidRPr="008932F0">
        <w:rPr>
          <w:rFonts w:eastAsia="Times New Roman" w:cs="Arial"/>
          <w:sz w:val="20"/>
          <w:szCs w:val="20"/>
          <w:highlight w:val="yellow"/>
          <w:lang w:eastAsia="et-EE"/>
        </w:rPr>
        <w:t xml:space="preserve"> krampide, liigutushäirete ja hingamispuudulikkuse kohta vastsündinul. Geenimutatsiooniga vastsündinul esinesid </w:t>
      </w:r>
      <w:proofErr w:type="spellStart"/>
      <w:r w:rsidRPr="008932F0">
        <w:rPr>
          <w:rFonts w:eastAsia="Times New Roman" w:cs="Arial"/>
          <w:sz w:val="20"/>
          <w:szCs w:val="20"/>
          <w:highlight w:val="yellow"/>
          <w:lang w:eastAsia="et-EE"/>
        </w:rPr>
        <w:t>neonataalne</w:t>
      </w:r>
      <w:proofErr w:type="spellEnd"/>
      <w:r w:rsidRPr="008932F0">
        <w:rPr>
          <w:rFonts w:eastAsia="Times New Roman" w:cs="Arial"/>
          <w:sz w:val="20"/>
          <w:szCs w:val="20"/>
          <w:highlight w:val="yellow"/>
          <w:lang w:eastAsia="et-EE"/>
        </w:rPr>
        <w:t xml:space="preserve"> epileptiline </w:t>
      </w:r>
      <w:proofErr w:type="spellStart"/>
      <w:r w:rsidRPr="008932F0">
        <w:rPr>
          <w:rFonts w:eastAsia="Times New Roman" w:cs="Arial"/>
          <w:sz w:val="20"/>
          <w:szCs w:val="20"/>
          <w:highlight w:val="yellow"/>
          <w:lang w:eastAsia="et-EE"/>
        </w:rPr>
        <w:t>entsefalopaatia</w:t>
      </w:r>
      <w:proofErr w:type="spellEnd"/>
      <w:r w:rsidRPr="008932F0">
        <w:rPr>
          <w:rFonts w:eastAsia="Times New Roman" w:cs="Arial"/>
          <w:sz w:val="20"/>
          <w:szCs w:val="20"/>
          <w:highlight w:val="yellow"/>
          <w:lang w:eastAsia="et-EE"/>
        </w:rPr>
        <w:t xml:space="preserve">, mitmed kaasasündinud väärarengud ja liigutushäired. Hingamispuudulikkus tekkis pigem täpsustamata respiratoorse haigestumise tüsistusena. </w:t>
      </w:r>
    </w:p>
    <w:p w14:paraId="1BDCADA6" w14:textId="77777777" w:rsidR="00FD4BF9" w:rsidRPr="008932F0" w:rsidRDefault="00FD4BF9" w:rsidP="00FD4BF9">
      <w:p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Kasvajavastased ained ja </w:t>
      </w:r>
      <w:proofErr w:type="spellStart"/>
      <w:r w:rsidRPr="008932F0">
        <w:rPr>
          <w:rFonts w:eastAsia="Times New Roman" w:cs="Arial"/>
          <w:sz w:val="20"/>
          <w:szCs w:val="20"/>
          <w:highlight w:val="yellow"/>
          <w:lang w:eastAsia="et-EE"/>
        </w:rPr>
        <w:t>immunosupressandid</w:t>
      </w:r>
      <w:proofErr w:type="spellEnd"/>
    </w:p>
    <w:p w14:paraId="7BFE710C"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69-aastane meespatsient sai pea- ja kaelavähi tõttu </w:t>
      </w:r>
      <w:proofErr w:type="spellStart"/>
      <w:r w:rsidRPr="008932F0">
        <w:rPr>
          <w:rFonts w:eastAsia="Times New Roman" w:cs="Arial"/>
          <w:sz w:val="20"/>
          <w:szCs w:val="20"/>
          <w:highlight w:val="yellow"/>
          <w:lang w:eastAsia="et-EE"/>
        </w:rPr>
        <w:t>tsetuksimabi</w:t>
      </w:r>
      <w:proofErr w:type="spellEnd"/>
      <w:r w:rsidRPr="008932F0">
        <w:rPr>
          <w:rFonts w:eastAsia="Times New Roman" w:cs="Arial"/>
          <w:sz w:val="20"/>
          <w:szCs w:val="20"/>
          <w:highlight w:val="yellow"/>
          <w:lang w:eastAsia="et-EE"/>
        </w:rPr>
        <w:t xml:space="preserve"> ja kiiritusravi. Täpsustamata ajal tekkis patsiendil palavik ja ta suri haiglas. Surma põhjustas tuumori rebenemine ja sepsis, mis tekkisid 6 päeva pärast viimast </w:t>
      </w:r>
      <w:proofErr w:type="spellStart"/>
      <w:r w:rsidRPr="008932F0">
        <w:rPr>
          <w:rFonts w:eastAsia="Times New Roman" w:cs="Arial"/>
          <w:sz w:val="20"/>
          <w:szCs w:val="20"/>
          <w:highlight w:val="yellow"/>
          <w:lang w:eastAsia="et-EE"/>
        </w:rPr>
        <w:t>tsetuksimabi</w:t>
      </w:r>
      <w:proofErr w:type="spellEnd"/>
      <w:r w:rsidRPr="008932F0">
        <w:rPr>
          <w:rFonts w:eastAsia="Times New Roman" w:cs="Arial"/>
          <w:sz w:val="20"/>
          <w:szCs w:val="20"/>
          <w:highlight w:val="yellow"/>
          <w:lang w:eastAsia="et-EE"/>
        </w:rPr>
        <w:t xml:space="preserve"> annust. Kõrvaltoimetena on loetletud sepsis, jõudluse langus, </w:t>
      </w:r>
      <w:proofErr w:type="spellStart"/>
      <w:r w:rsidRPr="008932F0">
        <w:rPr>
          <w:rFonts w:eastAsia="Times New Roman" w:cs="Arial"/>
          <w:sz w:val="20"/>
          <w:szCs w:val="20"/>
          <w:highlight w:val="yellow"/>
          <w:lang w:eastAsia="et-EE"/>
        </w:rPr>
        <w:t>kiiritusmukosiit</w:t>
      </w:r>
      <w:proofErr w:type="spellEnd"/>
      <w:r w:rsidRPr="008932F0">
        <w:rPr>
          <w:rFonts w:eastAsia="Times New Roman" w:cs="Arial"/>
          <w:sz w:val="20"/>
          <w:szCs w:val="20"/>
          <w:highlight w:val="yellow"/>
          <w:lang w:eastAsia="et-EE"/>
        </w:rPr>
        <w:t xml:space="preserve"> ja kiiritusdermatiit, mille seost raviga ei saa välistada.   </w:t>
      </w:r>
    </w:p>
    <w:p w14:paraId="6B43DEF4"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51-aastasel meespatsiendil tekkis </w:t>
      </w:r>
      <w:proofErr w:type="spellStart"/>
      <w:r w:rsidRPr="008932F0">
        <w:rPr>
          <w:rFonts w:eastAsia="Times New Roman" w:cs="Arial"/>
          <w:sz w:val="20"/>
          <w:szCs w:val="20"/>
          <w:highlight w:val="yellow"/>
          <w:lang w:eastAsia="et-EE"/>
        </w:rPr>
        <w:t>ibrutiniibi</w:t>
      </w:r>
      <w:proofErr w:type="spellEnd"/>
      <w:r w:rsidRPr="008932F0">
        <w:rPr>
          <w:rFonts w:eastAsia="Times New Roman" w:cs="Arial"/>
          <w:sz w:val="20"/>
          <w:szCs w:val="20"/>
          <w:highlight w:val="yellow"/>
          <w:lang w:eastAsia="et-EE"/>
        </w:rPr>
        <w:t xml:space="preserve"> kasutamise ajal Richteri sündroom (juhtu on kirjeldatud tõsiste seniteadmata kõrvaltoimete lõigus). </w:t>
      </w:r>
    </w:p>
    <w:p w14:paraId="25CD31C0"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72-aastasel meespatsiendil kasutati </w:t>
      </w:r>
      <w:proofErr w:type="spellStart"/>
      <w:r w:rsidRPr="008932F0">
        <w:rPr>
          <w:rFonts w:eastAsia="Times New Roman" w:cs="Arial"/>
          <w:sz w:val="20"/>
          <w:szCs w:val="20"/>
          <w:highlight w:val="yellow"/>
          <w:lang w:eastAsia="et-EE"/>
        </w:rPr>
        <w:t>reumatoidartriidi</w:t>
      </w:r>
      <w:proofErr w:type="spellEnd"/>
      <w:r w:rsidRPr="008932F0">
        <w:rPr>
          <w:rFonts w:eastAsia="Times New Roman" w:cs="Arial"/>
          <w:sz w:val="20"/>
          <w:szCs w:val="20"/>
          <w:highlight w:val="yellow"/>
          <w:lang w:eastAsia="et-EE"/>
        </w:rPr>
        <w:t xml:space="preserve"> raviks </w:t>
      </w:r>
      <w:proofErr w:type="spellStart"/>
      <w:r w:rsidRPr="008932F0">
        <w:rPr>
          <w:rFonts w:eastAsia="Times New Roman" w:cs="Arial"/>
          <w:sz w:val="20"/>
          <w:szCs w:val="20"/>
          <w:highlight w:val="yellow"/>
          <w:lang w:eastAsia="et-EE"/>
        </w:rPr>
        <w:t>metotreksaati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etanertsepti</w:t>
      </w:r>
      <w:proofErr w:type="spellEnd"/>
      <w:r w:rsidRPr="008932F0">
        <w:rPr>
          <w:rFonts w:eastAsia="Times New Roman" w:cs="Arial"/>
          <w:sz w:val="20"/>
          <w:szCs w:val="20"/>
          <w:highlight w:val="yellow"/>
          <w:lang w:eastAsia="et-EE"/>
        </w:rPr>
        <w:t xml:space="preserve"> ja prednisolooni. </w:t>
      </w:r>
      <w:proofErr w:type="spellStart"/>
      <w:r w:rsidRPr="008932F0">
        <w:rPr>
          <w:rFonts w:eastAsia="Times New Roman" w:cs="Arial"/>
          <w:sz w:val="20"/>
          <w:szCs w:val="20"/>
          <w:highlight w:val="yellow"/>
          <w:lang w:eastAsia="et-EE"/>
        </w:rPr>
        <w:t>Reumatodiartriidi</w:t>
      </w:r>
      <w:proofErr w:type="spellEnd"/>
      <w:r w:rsidRPr="008932F0">
        <w:rPr>
          <w:rFonts w:eastAsia="Times New Roman" w:cs="Arial"/>
          <w:sz w:val="20"/>
          <w:szCs w:val="20"/>
          <w:highlight w:val="yellow"/>
          <w:lang w:eastAsia="et-EE"/>
        </w:rPr>
        <w:t xml:space="preserve"> tüsistusena oli tekkinud neerude </w:t>
      </w:r>
      <w:proofErr w:type="spellStart"/>
      <w:r w:rsidRPr="008932F0">
        <w:rPr>
          <w:rFonts w:eastAsia="Times New Roman" w:cs="Arial"/>
          <w:sz w:val="20"/>
          <w:szCs w:val="20"/>
          <w:highlight w:val="yellow"/>
          <w:lang w:eastAsia="et-EE"/>
        </w:rPr>
        <w:t>amüloidoos</w:t>
      </w:r>
      <w:proofErr w:type="spellEnd"/>
      <w:r w:rsidRPr="008932F0">
        <w:rPr>
          <w:rFonts w:eastAsia="Times New Roman" w:cs="Arial"/>
          <w:sz w:val="20"/>
          <w:szCs w:val="20"/>
          <w:highlight w:val="yellow"/>
          <w:lang w:eastAsia="et-EE"/>
        </w:rPr>
        <w:t xml:space="preserve"> ja I astme krooniline </w:t>
      </w:r>
      <w:r w:rsidRPr="008932F0">
        <w:rPr>
          <w:rFonts w:eastAsia="Times New Roman" w:cs="Arial"/>
          <w:sz w:val="20"/>
          <w:szCs w:val="20"/>
          <w:highlight w:val="yellow"/>
          <w:lang w:eastAsia="et-EE"/>
        </w:rPr>
        <w:lastRenderedPageBreak/>
        <w:t xml:space="preserve">neerupuudulikkus. Kaasuvana esinesid hüpertensioon ja </w:t>
      </w:r>
      <w:proofErr w:type="spellStart"/>
      <w:r w:rsidRPr="008932F0">
        <w:rPr>
          <w:rFonts w:eastAsia="Times New Roman" w:cs="Arial"/>
          <w:sz w:val="20"/>
          <w:szCs w:val="20"/>
          <w:highlight w:val="yellow"/>
          <w:lang w:eastAsia="et-EE"/>
        </w:rPr>
        <w:t>glükokortikoididest</w:t>
      </w:r>
      <w:proofErr w:type="spellEnd"/>
      <w:r w:rsidRPr="008932F0">
        <w:rPr>
          <w:rFonts w:eastAsia="Times New Roman" w:cs="Arial"/>
          <w:sz w:val="20"/>
          <w:szCs w:val="20"/>
          <w:highlight w:val="yellow"/>
          <w:lang w:eastAsia="et-EE"/>
        </w:rPr>
        <w:t xml:space="preserve"> indutseeritud raskekujuline osteoporoos. Patsient haigestus kopsupõletikku, lisandus õhupuudus, äge hingamispuudulikkus ja süvenes neerupuudulikkus ning haige suri. </w:t>
      </w:r>
      <w:proofErr w:type="spellStart"/>
      <w:r w:rsidRPr="008932F0">
        <w:rPr>
          <w:rFonts w:eastAsia="Times New Roman" w:cs="Arial"/>
          <w:sz w:val="20"/>
          <w:szCs w:val="20"/>
          <w:highlight w:val="yellow"/>
          <w:lang w:eastAsia="et-EE"/>
        </w:rPr>
        <w:t>Immunosupresseeritud</w:t>
      </w:r>
      <w:proofErr w:type="spellEnd"/>
      <w:r w:rsidRPr="008932F0">
        <w:rPr>
          <w:rFonts w:eastAsia="Times New Roman" w:cs="Arial"/>
          <w:sz w:val="20"/>
          <w:szCs w:val="20"/>
          <w:highlight w:val="yellow"/>
          <w:lang w:eastAsia="et-EE"/>
        </w:rPr>
        <w:t xml:space="preserve"> patsientidel on infektsioonid sagedaseks kõrvaltoimeks. </w:t>
      </w:r>
    </w:p>
    <w:p w14:paraId="4BFA5702"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58-aastane patsient kasutas </w:t>
      </w:r>
      <w:proofErr w:type="spellStart"/>
      <w:r w:rsidRPr="008932F0">
        <w:rPr>
          <w:rFonts w:eastAsia="Times New Roman" w:cs="Arial"/>
          <w:sz w:val="20"/>
          <w:szCs w:val="20"/>
          <w:highlight w:val="yellow"/>
          <w:lang w:eastAsia="et-EE"/>
        </w:rPr>
        <w:t>psoriaatilise</w:t>
      </w:r>
      <w:proofErr w:type="spellEnd"/>
      <w:r w:rsidRPr="008932F0">
        <w:rPr>
          <w:rFonts w:eastAsia="Times New Roman" w:cs="Arial"/>
          <w:sz w:val="20"/>
          <w:szCs w:val="20"/>
          <w:highlight w:val="yellow"/>
          <w:lang w:eastAsia="et-EE"/>
        </w:rPr>
        <w:t xml:space="preserve"> artriidi raviks </w:t>
      </w:r>
      <w:proofErr w:type="spellStart"/>
      <w:r w:rsidRPr="008932F0">
        <w:rPr>
          <w:rFonts w:eastAsia="Times New Roman" w:cs="Arial"/>
          <w:sz w:val="20"/>
          <w:szCs w:val="20"/>
          <w:highlight w:val="yellow"/>
          <w:lang w:eastAsia="et-EE"/>
        </w:rPr>
        <w:t>adalimumabi</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leflunomiidi</w:t>
      </w:r>
      <w:proofErr w:type="spellEnd"/>
      <w:r w:rsidRPr="008932F0">
        <w:rPr>
          <w:rFonts w:eastAsia="Times New Roman" w:cs="Arial"/>
          <w:sz w:val="20"/>
          <w:szCs w:val="20"/>
          <w:highlight w:val="yellow"/>
          <w:lang w:eastAsia="et-EE"/>
        </w:rPr>
        <w:t xml:space="preserve"> ning  </w:t>
      </w:r>
      <w:proofErr w:type="spellStart"/>
      <w:r w:rsidRPr="008932F0">
        <w:rPr>
          <w:rFonts w:eastAsia="Times New Roman" w:cs="Arial"/>
          <w:sz w:val="20"/>
          <w:szCs w:val="20"/>
          <w:highlight w:val="yellow"/>
          <w:lang w:eastAsia="et-EE"/>
        </w:rPr>
        <w:t>diklofenakki</w:t>
      </w:r>
      <w:proofErr w:type="spellEnd"/>
      <w:r w:rsidRPr="008932F0">
        <w:rPr>
          <w:rFonts w:eastAsia="Times New Roman" w:cs="Arial"/>
          <w:sz w:val="20"/>
          <w:szCs w:val="20"/>
          <w:highlight w:val="yellow"/>
          <w:lang w:eastAsia="et-EE"/>
        </w:rPr>
        <w:t xml:space="preserve">.  Tekkis surmaga lõppenud müokardiinfarkt. Seos </w:t>
      </w:r>
      <w:proofErr w:type="spellStart"/>
      <w:r w:rsidRPr="008932F0">
        <w:rPr>
          <w:rFonts w:eastAsia="Times New Roman" w:cs="Arial"/>
          <w:sz w:val="20"/>
          <w:szCs w:val="20"/>
          <w:highlight w:val="yellow"/>
          <w:lang w:eastAsia="et-EE"/>
        </w:rPr>
        <w:t>adalimumabi</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dikolofenakiga</w:t>
      </w:r>
      <w:proofErr w:type="spellEnd"/>
      <w:r w:rsidRPr="008932F0">
        <w:rPr>
          <w:rFonts w:eastAsia="Times New Roman" w:cs="Arial"/>
          <w:sz w:val="20"/>
          <w:szCs w:val="20"/>
          <w:highlight w:val="yellow"/>
          <w:lang w:eastAsia="et-EE"/>
        </w:rPr>
        <w:t xml:space="preserve"> on võimalik, kuigi patsiendil esines ka mitmeid teisi müokardiinfarkti riskifaktoreid (sh ülekaalulisus, kõrgvererõhutõbi). </w:t>
      </w:r>
    </w:p>
    <w:p w14:paraId="081B3C93"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b/>
          <w:bCs/>
          <w:color w:val="2B3244"/>
          <w:lang w:eastAsia="et-EE"/>
        </w:rPr>
        <w:t>Kõrvaltoimed ravimrühmade kaupa</w:t>
      </w:r>
    </w:p>
    <w:p w14:paraId="17EF88AE"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Alljärgnev kokkuvõte on ravimite ja vaktsiinide kõrvaltoime teatiste kohta, mille puhul ravimi ja kõrvaltoime vaheline seos on hinnatud vähemalt võimalikuks.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276"/>
        <w:gridCol w:w="1337"/>
      </w:tblGrid>
      <w:tr w:rsidR="00657B60" w:rsidRPr="008500AB" w14:paraId="04AD5524" w14:textId="77777777" w:rsidTr="006A245D">
        <w:tc>
          <w:tcPr>
            <w:tcW w:w="1668" w:type="dxa"/>
            <w:shd w:val="clear" w:color="auto" w:fill="auto"/>
          </w:tcPr>
          <w:p w14:paraId="5B5B344E"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ATC kood</w:t>
            </w:r>
          </w:p>
        </w:tc>
        <w:tc>
          <w:tcPr>
            <w:tcW w:w="4961" w:type="dxa"/>
            <w:shd w:val="clear" w:color="auto" w:fill="auto"/>
          </w:tcPr>
          <w:p w14:paraId="54F27DE9"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Ravimrühm</w:t>
            </w:r>
          </w:p>
        </w:tc>
        <w:tc>
          <w:tcPr>
            <w:tcW w:w="1276" w:type="dxa"/>
          </w:tcPr>
          <w:p w14:paraId="75D52ADC"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8500AB">
              <w:rPr>
                <w:rFonts w:eastAsia="Times New Roman" w:cs="Arial"/>
                <w:color w:val="2B3244"/>
                <w:sz w:val="20"/>
                <w:szCs w:val="20"/>
                <w:lang w:eastAsia="et-EE"/>
              </w:rPr>
              <w:t>Tõsiste teatiste arv</w:t>
            </w:r>
          </w:p>
        </w:tc>
        <w:tc>
          <w:tcPr>
            <w:tcW w:w="1337" w:type="dxa"/>
            <w:shd w:val="clear" w:color="auto" w:fill="auto"/>
          </w:tcPr>
          <w:p w14:paraId="0DDA2440" w14:textId="77777777" w:rsidR="00657B60" w:rsidRPr="008500AB" w:rsidRDefault="004F4C4B" w:rsidP="00F87D66">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Mittetõsiste t</w:t>
            </w:r>
            <w:r w:rsidR="006A17A0" w:rsidRPr="008500AB">
              <w:rPr>
                <w:rFonts w:eastAsia="Times New Roman" w:cs="Arial"/>
                <w:color w:val="2B3244"/>
                <w:sz w:val="20"/>
                <w:szCs w:val="20"/>
                <w:lang w:eastAsia="et-EE"/>
              </w:rPr>
              <w:t xml:space="preserve">eatiste arv </w:t>
            </w:r>
          </w:p>
        </w:tc>
      </w:tr>
      <w:tr w:rsidR="00657B60" w:rsidRPr="001A7159" w14:paraId="6CB7CB2C" w14:textId="77777777" w:rsidTr="006A245D">
        <w:tc>
          <w:tcPr>
            <w:tcW w:w="1668" w:type="dxa"/>
            <w:shd w:val="clear" w:color="auto" w:fill="auto"/>
          </w:tcPr>
          <w:p w14:paraId="08A7E7CD"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A10</w:t>
            </w:r>
          </w:p>
        </w:tc>
        <w:tc>
          <w:tcPr>
            <w:tcW w:w="4961" w:type="dxa"/>
            <w:shd w:val="clear" w:color="auto" w:fill="auto"/>
          </w:tcPr>
          <w:p w14:paraId="2C744CE9"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Diabeedi raviks kasutatavad ained</w:t>
            </w:r>
          </w:p>
        </w:tc>
        <w:tc>
          <w:tcPr>
            <w:tcW w:w="1276" w:type="dxa"/>
          </w:tcPr>
          <w:p w14:paraId="04B74B48"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2</w:t>
            </w:r>
          </w:p>
        </w:tc>
        <w:tc>
          <w:tcPr>
            <w:tcW w:w="1337" w:type="dxa"/>
            <w:shd w:val="clear" w:color="auto" w:fill="auto"/>
          </w:tcPr>
          <w:p w14:paraId="06CFCB52"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0</w:t>
            </w:r>
          </w:p>
        </w:tc>
      </w:tr>
      <w:tr w:rsidR="00657B60" w:rsidRPr="001A7159" w14:paraId="76B9829D" w14:textId="77777777" w:rsidTr="006A245D">
        <w:tc>
          <w:tcPr>
            <w:tcW w:w="1668" w:type="dxa"/>
            <w:shd w:val="clear" w:color="auto" w:fill="auto"/>
          </w:tcPr>
          <w:p w14:paraId="61FA54A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B01</w:t>
            </w:r>
          </w:p>
        </w:tc>
        <w:tc>
          <w:tcPr>
            <w:tcW w:w="4961" w:type="dxa"/>
            <w:shd w:val="clear" w:color="auto" w:fill="auto"/>
          </w:tcPr>
          <w:p w14:paraId="5B8DE294"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Tromboosivastased ained</w:t>
            </w:r>
          </w:p>
        </w:tc>
        <w:tc>
          <w:tcPr>
            <w:tcW w:w="1276" w:type="dxa"/>
          </w:tcPr>
          <w:p w14:paraId="6D3A4126"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25</w:t>
            </w:r>
          </w:p>
        </w:tc>
        <w:tc>
          <w:tcPr>
            <w:tcW w:w="1337" w:type="dxa"/>
            <w:shd w:val="clear" w:color="auto" w:fill="auto"/>
          </w:tcPr>
          <w:p w14:paraId="6EE23288"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23AE8F3A" w14:textId="77777777" w:rsidTr="006A245D">
        <w:tc>
          <w:tcPr>
            <w:tcW w:w="1668" w:type="dxa"/>
            <w:shd w:val="clear" w:color="auto" w:fill="auto"/>
          </w:tcPr>
          <w:p w14:paraId="45D4C0F0" w14:textId="77777777" w:rsidR="001A7159" w:rsidRPr="004D685E" w:rsidRDefault="001A7159">
            <w:pPr>
              <w:spacing w:before="100" w:beforeAutospacing="1" w:after="100" w:afterAutospacing="1" w:line="336" w:lineRule="auto"/>
              <w:rPr>
                <w:rFonts w:eastAsia="Times New Roman" w:cs="Arial"/>
                <w:color w:val="2B3244"/>
                <w:sz w:val="20"/>
                <w:szCs w:val="20"/>
                <w:vertAlign w:val="superscript"/>
                <w:lang w:eastAsia="et-EE"/>
              </w:rPr>
            </w:pPr>
            <w:r>
              <w:rPr>
                <w:rFonts w:eastAsia="Times New Roman" w:cs="Arial"/>
                <w:color w:val="2B3244"/>
                <w:sz w:val="20"/>
                <w:szCs w:val="20"/>
                <w:lang w:eastAsia="et-EE"/>
              </w:rPr>
              <w:t>B01 + M01</w:t>
            </w:r>
            <w:r w:rsidR="004D685E">
              <w:rPr>
                <w:rFonts w:eastAsia="Times New Roman" w:cs="Arial"/>
                <w:color w:val="2B3244"/>
                <w:sz w:val="20"/>
                <w:szCs w:val="20"/>
                <w:vertAlign w:val="superscript"/>
                <w:lang w:eastAsia="et-EE"/>
              </w:rPr>
              <w:t>a</w:t>
            </w:r>
          </w:p>
        </w:tc>
        <w:tc>
          <w:tcPr>
            <w:tcW w:w="4961" w:type="dxa"/>
            <w:shd w:val="clear" w:color="auto" w:fill="auto"/>
          </w:tcPr>
          <w:p w14:paraId="0DFA936D" w14:textId="77777777" w:rsidR="001A7159" w:rsidRPr="001A7159" w:rsidRDefault="00C86F22" w:rsidP="0039288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Tromboosivastased ained</w:t>
            </w:r>
            <w:r>
              <w:rPr>
                <w:rFonts w:eastAsia="Times New Roman" w:cs="Arial"/>
                <w:color w:val="2B3244"/>
                <w:sz w:val="20"/>
                <w:szCs w:val="20"/>
                <w:lang w:eastAsia="et-EE"/>
              </w:rPr>
              <w:t xml:space="preserve"> + </w:t>
            </w:r>
            <w:proofErr w:type="spellStart"/>
            <w:r w:rsidR="00392889">
              <w:rPr>
                <w:rFonts w:eastAsia="Times New Roman" w:cs="Arial"/>
                <w:color w:val="2B3244"/>
                <w:sz w:val="20"/>
                <w:szCs w:val="20"/>
                <w:lang w:eastAsia="et-EE"/>
              </w:rPr>
              <w:t>m</w:t>
            </w:r>
            <w:r w:rsidRPr="001A7159">
              <w:rPr>
                <w:rFonts w:eastAsia="Times New Roman" w:cs="Arial"/>
                <w:color w:val="2B3244"/>
                <w:sz w:val="20"/>
                <w:szCs w:val="20"/>
                <w:lang w:eastAsia="et-EE"/>
              </w:rPr>
              <w:t>ittesteroidsed</w:t>
            </w:r>
            <w:proofErr w:type="spellEnd"/>
            <w:r w:rsidRPr="001A7159">
              <w:rPr>
                <w:rFonts w:eastAsia="Times New Roman" w:cs="Arial"/>
                <w:color w:val="2B3244"/>
                <w:sz w:val="20"/>
                <w:szCs w:val="20"/>
                <w:lang w:eastAsia="et-EE"/>
              </w:rPr>
              <w:t xml:space="preserve"> põletiku- ja reumavastased ained</w:t>
            </w:r>
            <w:r w:rsidR="00392889">
              <w:rPr>
                <w:rFonts w:eastAsia="Times New Roman" w:cs="Arial"/>
                <w:color w:val="2B3244"/>
                <w:sz w:val="20"/>
                <w:szCs w:val="20"/>
                <w:lang w:eastAsia="et-EE"/>
              </w:rPr>
              <w:t>*</w:t>
            </w:r>
          </w:p>
        </w:tc>
        <w:tc>
          <w:tcPr>
            <w:tcW w:w="1276" w:type="dxa"/>
          </w:tcPr>
          <w:p w14:paraId="60F68713"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6CA8D2DE"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4F966F4A" w14:textId="77777777" w:rsidTr="006A245D">
        <w:tc>
          <w:tcPr>
            <w:tcW w:w="1668" w:type="dxa"/>
            <w:shd w:val="clear" w:color="auto" w:fill="auto"/>
          </w:tcPr>
          <w:p w14:paraId="7AB97238"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B01 + M01 + C10</w:t>
            </w:r>
          </w:p>
        </w:tc>
        <w:tc>
          <w:tcPr>
            <w:tcW w:w="4961" w:type="dxa"/>
            <w:shd w:val="clear" w:color="auto" w:fill="auto"/>
          </w:tcPr>
          <w:p w14:paraId="375FB97E" w14:textId="77777777" w:rsidR="001A7159" w:rsidRPr="001A7159" w:rsidRDefault="00C86F22" w:rsidP="0039288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Tromboosivastased ained</w:t>
            </w:r>
            <w:r>
              <w:rPr>
                <w:rFonts w:eastAsia="Times New Roman" w:cs="Arial"/>
                <w:color w:val="2B3244"/>
                <w:sz w:val="20"/>
                <w:szCs w:val="20"/>
                <w:lang w:eastAsia="et-EE"/>
              </w:rPr>
              <w:t xml:space="preserve"> + </w:t>
            </w:r>
            <w:proofErr w:type="spellStart"/>
            <w:r w:rsidR="00392889">
              <w:rPr>
                <w:rFonts w:eastAsia="Times New Roman" w:cs="Arial"/>
                <w:color w:val="2B3244"/>
                <w:sz w:val="20"/>
                <w:szCs w:val="20"/>
                <w:lang w:eastAsia="et-EE"/>
              </w:rPr>
              <w:t>m</w:t>
            </w:r>
            <w:r w:rsidRPr="001A7159">
              <w:rPr>
                <w:rFonts w:eastAsia="Times New Roman" w:cs="Arial"/>
                <w:color w:val="2B3244"/>
                <w:sz w:val="20"/>
                <w:szCs w:val="20"/>
                <w:lang w:eastAsia="et-EE"/>
              </w:rPr>
              <w:t>ittesteroidsed</w:t>
            </w:r>
            <w:proofErr w:type="spellEnd"/>
            <w:r w:rsidRPr="001A7159">
              <w:rPr>
                <w:rFonts w:eastAsia="Times New Roman" w:cs="Arial"/>
                <w:color w:val="2B3244"/>
                <w:sz w:val="20"/>
                <w:szCs w:val="20"/>
                <w:lang w:eastAsia="et-EE"/>
              </w:rPr>
              <w:t xml:space="preserve"> põletiku- ja reumavastased ained</w:t>
            </w:r>
            <w:r>
              <w:rPr>
                <w:rFonts w:eastAsia="Times New Roman" w:cs="Arial"/>
                <w:color w:val="2B3244"/>
                <w:sz w:val="20"/>
                <w:szCs w:val="20"/>
                <w:lang w:eastAsia="et-EE"/>
              </w:rPr>
              <w:t xml:space="preserve"> + </w:t>
            </w:r>
            <w:r w:rsidR="00392889">
              <w:rPr>
                <w:rFonts w:eastAsia="Times New Roman" w:cs="Arial"/>
                <w:color w:val="2B3244"/>
                <w:sz w:val="20"/>
                <w:szCs w:val="20"/>
                <w:lang w:eastAsia="et-EE"/>
              </w:rPr>
              <w:t>l</w:t>
            </w:r>
            <w:r w:rsidRPr="001A7159">
              <w:rPr>
                <w:rFonts w:eastAsia="Times New Roman" w:cs="Arial"/>
                <w:color w:val="2B3244"/>
                <w:sz w:val="20"/>
                <w:szCs w:val="20"/>
                <w:lang w:eastAsia="et-EE"/>
              </w:rPr>
              <w:t>ipiidisisaldust muutvad ained</w:t>
            </w:r>
          </w:p>
        </w:tc>
        <w:tc>
          <w:tcPr>
            <w:tcW w:w="1276" w:type="dxa"/>
          </w:tcPr>
          <w:p w14:paraId="6E5BE705"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56BA9942"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43316CF1" w14:textId="77777777" w:rsidTr="006A245D">
        <w:tc>
          <w:tcPr>
            <w:tcW w:w="1668" w:type="dxa"/>
            <w:shd w:val="clear" w:color="auto" w:fill="auto"/>
          </w:tcPr>
          <w:p w14:paraId="59383C74"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B03</w:t>
            </w:r>
          </w:p>
        </w:tc>
        <w:tc>
          <w:tcPr>
            <w:tcW w:w="4961" w:type="dxa"/>
            <w:shd w:val="clear" w:color="auto" w:fill="auto"/>
          </w:tcPr>
          <w:p w14:paraId="5D740E6C"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Aneemiavastased preparaadid</w:t>
            </w:r>
          </w:p>
        </w:tc>
        <w:tc>
          <w:tcPr>
            <w:tcW w:w="1276" w:type="dxa"/>
          </w:tcPr>
          <w:p w14:paraId="485A2EB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46BFB28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7537C3E4" w14:textId="77777777" w:rsidTr="006A245D">
        <w:tc>
          <w:tcPr>
            <w:tcW w:w="1668" w:type="dxa"/>
            <w:shd w:val="clear" w:color="auto" w:fill="auto"/>
          </w:tcPr>
          <w:p w14:paraId="5A2D2959" w14:textId="77777777" w:rsidR="00657B60" w:rsidRPr="001A7159" w:rsidRDefault="006A17A0" w:rsidP="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B05</w:t>
            </w:r>
          </w:p>
        </w:tc>
        <w:tc>
          <w:tcPr>
            <w:tcW w:w="4961" w:type="dxa"/>
            <w:shd w:val="clear" w:color="auto" w:fill="auto"/>
          </w:tcPr>
          <w:p w14:paraId="11982655" w14:textId="77777777" w:rsidR="00657B60" w:rsidRPr="001A7159" w:rsidRDefault="006A17A0" w:rsidP="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 xml:space="preserve">Vereasendajad ja </w:t>
            </w:r>
            <w:proofErr w:type="spellStart"/>
            <w:r w:rsidRPr="001A7159">
              <w:rPr>
                <w:rFonts w:eastAsia="Times New Roman" w:cs="Arial"/>
                <w:color w:val="2B3244"/>
                <w:sz w:val="20"/>
                <w:szCs w:val="20"/>
                <w:lang w:eastAsia="et-EE"/>
              </w:rPr>
              <w:t>perfusioonilahused</w:t>
            </w:r>
            <w:proofErr w:type="spellEnd"/>
            <w:r w:rsidRPr="001A7159">
              <w:rPr>
                <w:rFonts w:eastAsia="Times New Roman" w:cs="Arial"/>
                <w:color w:val="2B3244"/>
                <w:sz w:val="20"/>
                <w:szCs w:val="20"/>
                <w:lang w:eastAsia="et-EE"/>
              </w:rPr>
              <w:t xml:space="preserve"> </w:t>
            </w:r>
          </w:p>
        </w:tc>
        <w:tc>
          <w:tcPr>
            <w:tcW w:w="1276" w:type="dxa"/>
          </w:tcPr>
          <w:p w14:paraId="15034D0B"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3AAF6162"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3A392EB1" w14:textId="77777777" w:rsidTr="006A245D">
        <w:tc>
          <w:tcPr>
            <w:tcW w:w="1668" w:type="dxa"/>
            <w:shd w:val="clear" w:color="auto" w:fill="auto"/>
          </w:tcPr>
          <w:p w14:paraId="7762F31E"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C01B</w:t>
            </w:r>
          </w:p>
        </w:tc>
        <w:tc>
          <w:tcPr>
            <w:tcW w:w="4961" w:type="dxa"/>
            <w:shd w:val="clear" w:color="auto" w:fill="auto"/>
          </w:tcPr>
          <w:p w14:paraId="2A15B851"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Antiarütmikumid</w:t>
            </w:r>
            <w:proofErr w:type="spellEnd"/>
            <w:r w:rsidRPr="001A7159">
              <w:rPr>
                <w:rFonts w:eastAsia="Times New Roman" w:cs="Arial"/>
                <w:color w:val="2B3244"/>
                <w:sz w:val="20"/>
                <w:szCs w:val="20"/>
                <w:lang w:eastAsia="et-EE"/>
              </w:rPr>
              <w:t>, I ja III klass</w:t>
            </w:r>
          </w:p>
        </w:tc>
        <w:tc>
          <w:tcPr>
            <w:tcW w:w="1276" w:type="dxa"/>
          </w:tcPr>
          <w:p w14:paraId="1E4CBCFE"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00FB0D48"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0AD2BC13" w14:textId="77777777" w:rsidTr="006A245D">
        <w:tc>
          <w:tcPr>
            <w:tcW w:w="1668" w:type="dxa"/>
            <w:shd w:val="clear" w:color="auto" w:fill="auto"/>
          </w:tcPr>
          <w:p w14:paraId="3EC1043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C02 + L03</w:t>
            </w:r>
          </w:p>
        </w:tc>
        <w:tc>
          <w:tcPr>
            <w:tcW w:w="4961" w:type="dxa"/>
            <w:shd w:val="clear" w:color="auto" w:fill="auto"/>
          </w:tcPr>
          <w:p w14:paraId="0DCC3F20" w14:textId="77777777" w:rsidR="00657B60" w:rsidRPr="001A7159" w:rsidRDefault="00C86F22">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 xml:space="preserve">Hüpertensioonivastased ained + </w:t>
            </w:r>
            <w:proofErr w:type="spellStart"/>
            <w:r w:rsidR="00392889">
              <w:rPr>
                <w:rFonts w:eastAsia="Times New Roman" w:cs="Arial"/>
                <w:color w:val="2B3244"/>
                <w:sz w:val="20"/>
                <w:szCs w:val="20"/>
                <w:lang w:eastAsia="et-EE"/>
              </w:rPr>
              <w:t>i</w:t>
            </w:r>
            <w:r w:rsidRPr="001A7159">
              <w:rPr>
                <w:rFonts w:eastAsia="Times New Roman" w:cs="Arial"/>
                <w:color w:val="2B3244"/>
                <w:sz w:val="20"/>
                <w:szCs w:val="20"/>
                <w:lang w:eastAsia="et-EE"/>
              </w:rPr>
              <w:t>mmunostimulaatorid</w:t>
            </w:r>
            <w:proofErr w:type="spellEnd"/>
          </w:p>
        </w:tc>
        <w:tc>
          <w:tcPr>
            <w:tcW w:w="1276" w:type="dxa"/>
          </w:tcPr>
          <w:p w14:paraId="6F9E737B"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2CC1331D"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30357B96" w14:textId="77777777" w:rsidTr="006A245D">
        <w:tc>
          <w:tcPr>
            <w:tcW w:w="1668" w:type="dxa"/>
            <w:shd w:val="clear" w:color="auto" w:fill="auto"/>
          </w:tcPr>
          <w:p w14:paraId="5185E4E4"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C07</w:t>
            </w:r>
          </w:p>
        </w:tc>
        <w:tc>
          <w:tcPr>
            <w:tcW w:w="4961" w:type="dxa"/>
            <w:shd w:val="clear" w:color="auto" w:fill="auto"/>
          </w:tcPr>
          <w:p w14:paraId="18AADD51" w14:textId="77777777" w:rsidR="001A7159" w:rsidRPr="001A7159" w:rsidRDefault="00C86F22">
            <w:pPr>
              <w:spacing w:before="100" w:beforeAutospacing="1" w:after="100" w:afterAutospacing="1" w:line="336" w:lineRule="auto"/>
              <w:rPr>
                <w:rFonts w:eastAsia="Times New Roman" w:cs="Arial"/>
                <w:color w:val="2B3244"/>
                <w:sz w:val="20"/>
                <w:szCs w:val="20"/>
                <w:lang w:eastAsia="et-EE"/>
              </w:rPr>
            </w:pPr>
            <w:proofErr w:type="spellStart"/>
            <w:r>
              <w:rPr>
                <w:rFonts w:eastAsia="Times New Roman" w:cs="Arial"/>
                <w:color w:val="2B3244"/>
                <w:sz w:val="20"/>
                <w:szCs w:val="20"/>
                <w:lang w:eastAsia="et-EE"/>
              </w:rPr>
              <w:t>Beetablokaatorid</w:t>
            </w:r>
            <w:proofErr w:type="spellEnd"/>
          </w:p>
        </w:tc>
        <w:tc>
          <w:tcPr>
            <w:tcW w:w="1276" w:type="dxa"/>
          </w:tcPr>
          <w:p w14:paraId="6DF921C6"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09918F5C"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4FA63A57" w14:textId="77777777" w:rsidTr="006A245D">
        <w:tc>
          <w:tcPr>
            <w:tcW w:w="1668" w:type="dxa"/>
            <w:shd w:val="clear" w:color="auto" w:fill="auto"/>
          </w:tcPr>
          <w:p w14:paraId="0ED3080E"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C09</w:t>
            </w:r>
          </w:p>
        </w:tc>
        <w:tc>
          <w:tcPr>
            <w:tcW w:w="4961" w:type="dxa"/>
            <w:shd w:val="clear" w:color="auto" w:fill="auto"/>
          </w:tcPr>
          <w:p w14:paraId="50E8BD67"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Reniin-angiotensiinsüsteemi</w:t>
            </w:r>
            <w:proofErr w:type="spellEnd"/>
            <w:r w:rsidRPr="001A7159">
              <w:rPr>
                <w:rFonts w:eastAsia="Times New Roman" w:cs="Arial"/>
                <w:color w:val="2B3244"/>
                <w:sz w:val="20"/>
                <w:szCs w:val="20"/>
                <w:lang w:eastAsia="et-EE"/>
              </w:rPr>
              <w:t xml:space="preserve"> toimivad ained</w:t>
            </w:r>
          </w:p>
        </w:tc>
        <w:tc>
          <w:tcPr>
            <w:tcW w:w="1276" w:type="dxa"/>
          </w:tcPr>
          <w:p w14:paraId="0BB6FABA"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05BD710A"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w:t>
            </w:r>
          </w:p>
        </w:tc>
      </w:tr>
      <w:tr w:rsidR="00657B60" w:rsidRPr="001A7159" w14:paraId="199FBF48" w14:textId="77777777" w:rsidTr="006A245D">
        <w:tc>
          <w:tcPr>
            <w:tcW w:w="1668" w:type="dxa"/>
            <w:shd w:val="clear" w:color="auto" w:fill="auto"/>
          </w:tcPr>
          <w:p w14:paraId="3718EDCD"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C10</w:t>
            </w:r>
          </w:p>
        </w:tc>
        <w:tc>
          <w:tcPr>
            <w:tcW w:w="4961" w:type="dxa"/>
            <w:shd w:val="clear" w:color="auto" w:fill="auto"/>
          </w:tcPr>
          <w:p w14:paraId="5267B547"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Lipiidisisaldust muutvad ained</w:t>
            </w:r>
          </w:p>
        </w:tc>
        <w:tc>
          <w:tcPr>
            <w:tcW w:w="1276" w:type="dxa"/>
          </w:tcPr>
          <w:p w14:paraId="6FA23C88"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3DF92225"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r>
      <w:tr w:rsidR="001A7159" w:rsidRPr="001A7159" w14:paraId="31A901AA" w14:textId="77777777" w:rsidTr="006A245D">
        <w:tc>
          <w:tcPr>
            <w:tcW w:w="1668" w:type="dxa"/>
            <w:shd w:val="clear" w:color="auto" w:fill="auto"/>
          </w:tcPr>
          <w:p w14:paraId="2079FED5"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D01</w:t>
            </w:r>
          </w:p>
        </w:tc>
        <w:tc>
          <w:tcPr>
            <w:tcW w:w="4961" w:type="dxa"/>
            <w:shd w:val="clear" w:color="auto" w:fill="auto"/>
          </w:tcPr>
          <w:p w14:paraId="0331E469" w14:textId="77777777" w:rsidR="001A7159" w:rsidRPr="001A7159" w:rsidRDefault="00C86F22">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Seenevastased ained dermatoloogiliseks kasutamiseks</w:t>
            </w:r>
          </w:p>
        </w:tc>
        <w:tc>
          <w:tcPr>
            <w:tcW w:w="1276" w:type="dxa"/>
          </w:tcPr>
          <w:p w14:paraId="2C143802"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1EB5707C"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5F1C53A5" w14:textId="77777777" w:rsidTr="006A245D">
        <w:tc>
          <w:tcPr>
            <w:tcW w:w="1668" w:type="dxa"/>
            <w:shd w:val="clear" w:color="auto" w:fill="auto"/>
          </w:tcPr>
          <w:p w14:paraId="3BB1AE9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D10</w:t>
            </w:r>
          </w:p>
        </w:tc>
        <w:tc>
          <w:tcPr>
            <w:tcW w:w="4961" w:type="dxa"/>
            <w:shd w:val="clear" w:color="auto" w:fill="auto"/>
          </w:tcPr>
          <w:p w14:paraId="2A8312BF"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Aknevastased preparaadid</w:t>
            </w:r>
          </w:p>
        </w:tc>
        <w:tc>
          <w:tcPr>
            <w:tcW w:w="1276" w:type="dxa"/>
          </w:tcPr>
          <w:p w14:paraId="0172FEF5"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33ABC11D"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1A7159" w:rsidRPr="001A7159" w14:paraId="61F821CA" w14:textId="77777777" w:rsidTr="006A245D">
        <w:tc>
          <w:tcPr>
            <w:tcW w:w="1668" w:type="dxa"/>
            <w:shd w:val="clear" w:color="auto" w:fill="auto"/>
          </w:tcPr>
          <w:p w14:paraId="5CC1CBAD"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G01</w:t>
            </w:r>
          </w:p>
        </w:tc>
        <w:tc>
          <w:tcPr>
            <w:tcW w:w="4961" w:type="dxa"/>
            <w:shd w:val="clear" w:color="auto" w:fill="auto"/>
          </w:tcPr>
          <w:p w14:paraId="11AF8F35" w14:textId="77777777" w:rsidR="00C86F22" w:rsidRPr="001A7159" w:rsidRDefault="00C86F22">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Günekoloogias kasutatavad antiseptilised ja infektsioonivastased ained</w:t>
            </w:r>
          </w:p>
        </w:tc>
        <w:tc>
          <w:tcPr>
            <w:tcW w:w="1276" w:type="dxa"/>
          </w:tcPr>
          <w:p w14:paraId="17159230"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3195FC2D"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r>
      <w:tr w:rsidR="001A7159" w:rsidRPr="001A7159" w14:paraId="06805871" w14:textId="77777777" w:rsidTr="006A245D">
        <w:tc>
          <w:tcPr>
            <w:tcW w:w="1668" w:type="dxa"/>
            <w:shd w:val="clear" w:color="auto" w:fill="auto"/>
          </w:tcPr>
          <w:p w14:paraId="07351B40"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G02</w:t>
            </w:r>
          </w:p>
        </w:tc>
        <w:tc>
          <w:tcPr>
            <w:tcW w:w="4961" w:type="dxa"/>
            <w:shd w:val="clear" w:color="auto" w:fill="auto"/>
          </w:tcPr>
          <w:p w14:paraId="1B632A10" w14:textId="77777777" w:rsidR="001A7159" w:rsidRPr="001A7159" w:rsidRDefault="00C86F22">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Teised günekoloogias kasutatavad ained</w:t>
            </w:r>
          </w:p>
        </w:tc>
        <w:tc>
          <w:tcPr>
            <w:tcW w:w="1276" w:type="dxa"/>
          </w:tcPr>
          <w:p w14:paraId="46516A0D"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5</w:t>
            </w:r>
          </w:p>
        </w:tc>
        <w:tc>
          <w:tcPr>
            <w:tcW w:w="1337" w:type="dxa"/>
            <w:shd w:val="clear" w:color="auto" w:fill="auto"/>
          </w:tcPr>
          <w:p w14:paraId="3C5E3E14"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7BD89253" w14:textId="77777777" w:rsidTr="006A245D">
        <w:tc>
          <w:tcPr>
            <w:tcW w:w="1668" w:type="dxa"/>
            <w:shd w:val="clear" w:color="auto" w:fill="auto"/>
          </w:tcPr>
          <w:p w14:paraId="04CD8BFF"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G03</w:t>
            </w:r>
          </w:p>
        </w:tc>
        <w:tc>
          <w:tcPr>
            <w:tcW w:w="4961" w:type="dxa"/>
            <w:shd w:val="clear" w:color="auto" w:fill="auto"/>
          </w:tcPr>
          <w:p w14:paraId="5C8057CD" w14:textId="77777777" w:rsidR="00657B60" w:rsidRPr="00C47C32" w:rsidRDefault="00C86F22" w:rsidP="002B7BEC">
            <w:pPr>
              <w:spacing w:before="100" w:beforeAutospacing="1" w:after="100" w:afterAutospacing="1" w:line="336" w:lineRule="auto"/>
              <w:rPr>
                <w:rFonts w:eastAsia="Times New Roman" w:cs="Arial"/>
                <w:color w:val="2B3244"/>
                <w:sz w:val="20"/>
                <w:szCs w:val="20"/>
                <w:lang w:eastAsia="et-EE"/>
              </w:rPr>
            </w:pPr>
            <w:r w:rsidRPr="00C47C32">
              <w:rPr>
                <w:rFonts w:eastAsia="Times New Roman" w:cs="Arial"/>
                <w:color w:val="2B3244"/>
                <w:sz w:val="20"/>
                <w:szCs w:val="20"/>
                <w:lang w:eastAsia="et-EE"/>
              </w:rPr>
              <w:t xml:space="preserve">Suguhormoonid ja </w:t>
            </w:r>
            <w:r w:rsidR="002B7BEC" w:rsidRPr="00C47C32">
              <w:rPr>
                <w:rFonts w:eastAsia="Times New Roman" w:cs="Arial"/>
                <w:color w:val="2B3244"/>
                <w:sz w:val="20"/>
                <w:szCs w:val="20"/>
                <w:lang w:eastAsia="et-EE"/>
              </w:rPr>
              <w:t>genitaalsüsteemi modulaatorid</w:t>
            </w:r>
          </w:p>
        </w:tc>
        <w:tc>
          <w:tcPr>
            <w:tcW w:w="1276" w:type="dxa"/>
          </w:tcPr>
          <w:p w14:paraId="42B54D15"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5</w:t>
            </w:r>
          </w:p>
        </w:tc>
        <w:tc>
          <w:tcPr>
            <w:tcW w:w="1337" w:type="dxa"/>
            <w:shd w:val="clear" w:color="auto" w:fill="auto"/>
          </w:tcPr>
          <w:p w14:paraId="405AF0E7"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05BEFC5E" w14:textId="77777777" w:rsidTr="006A245D">
        <w:tc>
          <w:tcPr>
            <w:tcW w:w="1668" w:type="dxa"/>
            <w:shd w:val="clear" w:color="auto" w:fill="auto"/>
          </w:tcPr>
          <w:p w14:paraId="3E72742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H01</w:t>
            </w:r>
          </w:p>
        </w:tc>
        <w:tc>
          <w:tcPr>
            <w:tcW w:w="4961" w:type="dxa"/>
            <w:shd w:val="clear" w:color="auto" w:fill="auto"/>
          </w:tcPr>
          <w:p w14:paraId="47DE3177"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Hüpofüüsi</w:t>
            </w:r>
            <w:proofErr w:type="spellEnd"/>
            <w:r w:rsidRPr="001A7159">
              <w:rPr>
                <w:rFonts w:eastAsia="Times New Roman" w:cs="Arial"/>
                <w:color w:val="2B3244"/>
                <w:sz w:val="20"/>
                <w:szCs w:val="20"/>
                <w:lang w:eastAsia="et-EE"/>
              </w:rPr>
              <w:t xml:space="preserve"> ja </w:t>
            </w:r>
            <w:proofErr w:type="spellStart"/>
            <w:r w:rsidRPr="001A7159">
              <w:rPr>
                <w:rFonts w:eastAsia="Times New Roman" w:cs="Arial"/>
                <w:color w:val="2B3244"/>
                <w:sz w:val="20"/>
                <w:szCs w:val="20"/>
                <w:lang w:eastAsia="et-EE"/>
              </w:rPr>
              <w:t>hüpotalamuse</w:t>
            </w:r>
            <w:proofErr w:type="spellEnd"/>
            <w:r w:rsidRPr="001A7159">
              <w:rPr>
                <w:rFonts w:eastAsia="Times New Roman" w:cs="Arial"/>
                <w:color w:val="2B3244"/>
                <w:sz w:val="20"/>
                <w:szCs w:val="20"/>
                <w:lang w:eastAsia="et-EE"/>
              </w:rPr>
              <w:t xml:space="preserve"> hormoonid ja nende analoogid</w:t>
            </w:r>
          </w:p>
        </w:tc>
        <w:tc>
          <w:tcPr>
            <w:tcW w:w="1276" w:type="dxa"/>
          </w:tcPr>
          <w:p w14:paraId="321C7866"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0943B68D"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4D92AF85" w14:textId="77777777" w:rsidTr="006A245D">
        <w:tc>
          <w:tcPr>
            <w:tcW w:w="1668" w:type="dxa"/>
            <w:shd w:val="clear" w:color="auto" w:fill="auto"/>
          </w:tcPr>
          <w:p w14:paraId="0AE45E05"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H02</w:t>
            </w:r>
          </w:p>
        </w:tc>
        <w:tc>
          <w:tcPr>
            <w:tcW w:w="4961" w:type="dxa"/>
            <w:shd w:val="clear" w:color="auto" w:fill="auto"/>
          </w:tcPr>
          <w:p w14:paraId="75F79E4F" w14:textId="77777777" w:rsidR="001A7159"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Pr>
                <w:rFonts w:eastAsia="Times New Roman" w:cs="Arial"/>
                <w:color w:val="2B3244"/>
                <w:sz w:val="20"/>
                <w:szCs w:val="20"/>
                <w:lang w:eastAsia="et-EE"/>
              </w:rPr>
              <w:t>Kortikosteroidid</w:t>
            </w:r>
            <w:proofErr w:type="spellEnd"/>
            <w:r>
              <w:rPr>
                <w:rFonts w:eastAsia="Times New Roman" w:cs="Arial"/>
                <w:color w:val="2B3244"/>
                <w:sz w:val="20"/>
                <w:szCs w:val="20"/>
                <w:lang w:eastAsia="et-EE"/>
              </w:rPr>
              <w:t xml:space="preserve"> süsteemseks kasutamiseks </w:t>
            </w:r>
          </w:p>
        </w:tc>
        <w:tc>
          <w:tcPr>
            <w:tcW w:w="1276" w:type="dxa"/>
          </w:tcPr>
          <w:p w14:paraId="37813B41"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73CAFE82"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43915934" w14:textId="77777777" w:rsidTr="006A245D">
        <w:tc>
          <w:tcPr>
            <w:tcW w:w="1668" w:type="dxa"/>
            <w:shd w:val="clear" w:color="auto" w:fill="auto"/>
          </w:tcPr>
          <w:p w14:paraId="0F64698C"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H03</w:t>
            </w:r>
          </w:p>
        </w:tc>
        <w:tc>
          <w:tcPr>
            <w:tcW w:w="4961" w:type="dxa"/>
            <w:shd w:val="clear" w:color="auto" w:fill="auto"/>
          </w:tcPr>
          <w:p w14:paraId="1A31C660"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Kilpnäärme ravi</w:t>
            </w:r>
          </w:p>
        </w:tc>
        <w:tc>
          <w:tcPr>
            <w:tcW w:w="1276" w:type="dxa"/>
          </w:tcPr>
          <w:p w14:paraId="0294124B"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058E6A51"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7EA17FC4" w14:textId="77777777" w:rsidTr="006A245D">
        <w:tc>
          <w:tcPr>
            <w:tcW w:w="1668" w:type="dxa"/>
            <w:shd w:val="clear" w:color="auto" w:fill="auto"/>
          </w:tcPr>
          <w:p w14:paraId="3A17FE11"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J01</w:t>
            </w:r>
          </w:p>
        </w:tc>
        <w:tc>
          <w:tcPr>
            <w:tcW w:w="4961" w:type="dxa"/>
            <w:shd w:val="clear" w:color="auto" w:fill="auto"/>
          </w:tcPr>
          <w:p w14:paraId="457AA918"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Antibakteriaalsed ained süsteemseks kasutamiseks</w:t>
            </w:r>
          </w:p>
        </w:tc>
        <w:tc>
          <w:tcPr>
            <w:tcW w:w="1276" w:type="dxa"/>
          </w:tcPr>
          <w:p w14:paraId="0DB5CC2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w:t>
            </w:r>
          </w:p>
        </w:tc>
        <w:tc>
          <w:tcPr>
            <w:tcW w:w="1337" w:type="dxa"/>
            <w:shd w:val="clear" w:color="auto" w:fill="auto"/>
          </w:tcPr>
          <w:p w14:paraId="12666E48"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w:t>
            </w:r>
          </w:p>
        </w:tc>
      </w:tr>
      <w:tr w:rsidR="00657B60" w:rsidRPr="001A7159" w14:paraId="349150E7" w14:textId="77777777" w:rsidTr="006A245D">
        <w:tc>
          <w:tcPr>
            <w:tcW w:w="1668" w:type="dxa"/>
            <w:shd w:val="clear" w:color="auto" w:fill="auto"/>
          </w:tcPr>
          <w:p w14:paraId="14AF8A9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J05</w:t>
            </w:r>
          </w:p>
        </w:tc>
        <w:tc>
          <w:tcPr>
            <w:tcW w:w="4961" w:type="dxa"/>
            <w:shd w:val="clear" w:color="auto" w:fill="auto"/>
          </w:tcPr>
          <w:p w14:paraId="2D63F35C"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Viirusvastased ained süsteemseks kasutamiseks</w:t>
            </w:r>
          </w:p>
        </w:tc>
        <w:tc>
          <w:tcPr>
            <w:tcW w:w="1276" w:type="dxa"/>
          </w:tcPr>
          <w:p w14:paraId="6E7BCE9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1EB22DBC"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1AB31430" w14:textId="77777777" w:rsidTr="006A245D">
        <w:tc>
          <w:tcPr>
            <w:tcW w:w="1668" w:type="dxa"/>
            <w:shd w:val="clear" w:color="auto" w:fill="auto"/>
          </w:tcPr>
          <w:p w14:paraId="45D96BF5"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lastRenderedPageBreak/>
              <w:t>J06</w:t>
            </w:r>
          </w:p>
        </w:tc>
        <w:tc>
          <w:tcPr>
            <w:tcW w:w="4961" w:type="dxa"/>
            <w:shd w:val="clear" w:color="auto" w:fill="auto"/>
          </w:tcPr>
          <w:p w14:paraId="410F7F21"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 xml:space="preserve">Immuunseerumid ja </w:t>
            </w:r>
            <w:proofErr w:type="spellStart"/>
            <w:r w:rsidRPr="001A7159">
              <w:rPr>
                <w:rFonts w:eastAsia="Times New Roman" w:cs="Arial"/>
                <w:color w:val="2B3244"/>
                <w:sz w:val="20"/>
                <w:szCs w:val="20"/>
                <w:lang w:eastAsia="et-EE"/>
              </w:rPr>
              <w:t>immunoglobuliinid</w:t>
            </w:r>
            <w:proofErr w:type="spellEnd"/>
          </w:p>
        </w:tc>
        <w:tc>
          <w:tcPr>
            <w:tcW w:w="1276" w:type="dxa"/>
          </w:tcPr>
          <w:p w14:paraId="0A8CE8C3"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5ACA3729"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534059E5" w14:textId="77777777" w:rsidTr="006A245D">
        <w:tc>
          <w:tcPr>
            <w:tcW w:w="1668" w:type="dxa"/>
            <w:shd w:val="clear" w:color="auto" w:fill="auto"/>
          </w:tcPr>
          <w:p w14:paraId="631A2551"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J07</w:t>
            </w:r>
          </w:p>
        </w:tc>
        <w:tc>
          <w:tcPr>
            <w:tcW w:w="4961" w:type="dxa"/>
            <w:shd w:val="clear" w:color="auto" w:fill="auto"/>
          </w:tcPr>
          <w:p w14:paraId="7D1670E2"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Vaktsiinid</w:t>
            </w:r>
            <w:r w:rsidR="00392889">
              <w:rPr>
                <w:rFonts w:eastAsia="Times New Roman" w:cs="Arial"/>
                <w:color w:val="2B3244"/>
                <w:sz w:val="20"/>
                <w:szCs w:val="20"/>
                <w:lang w:eastAsia="et-EE"/>
              </w:rPr>
              <w:t>**</w:t>
            </w:r>
          </w:p>
        </w:tc>
        <w:tc>
          <w:tcPr>
            <w:tcW w:w="1276" w:type="dxa"/>
          </w:tcPr>
          <w:p w14:paraId="60F593D9"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7</w:t>
            </w:r>
          </w:p>
        </w:tc>
        <w:tc>
          <w:tcPr>
            <w:tcW w:w="1337" w:type="dxa"/>
            <w:shd w:val="clear" w:color="auto" w:fill="auto"/>
          </w:tcPr>
          <w:p w14:paraId="4835CE83"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34</w:t>
            </w:r>
          </w:p>
        </w:tc>
      </w:tr>
      <w:tr w:rsidR="00657B60" w:rsidRPr="001A7159" w14:paraId="679BA844" w14:textId="77777777" w:rsidTr="006A245D">
        <w:tc>
          <w:tcPr>
            <w:tcW w:w="1668" w:type="dxa"/>
            <w:shd w:val="clear" w:color="auto" w:fill="auto"/>
          </w:tcPr>
          <w:p w14:paraId="66C58C04"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L01</w:t>
            </w:r>
          </w:p>
        </w:tc>
        <w:tc>
          <w:tcPr>
            <w:tcW w:w="4961" w:type="dxa"/>
            <w:shd w:val="clear" w:color="auto" w:fill="auto"/>
          </w:tcPr>
          <w:p w14:paraId="43996FE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Kasvajavastased ained</w:t>
            </w:r>
            <w:r w:rsidR="00392889">
              <w:rPr>
                <w:rFonts w:eastAsia="Times New Roman" w:cs="Arial"/>
                <w:color w:val="2B3244"/>
                <w:sz w:val="20"/>
                <w:szCs w:val="20"/>
                <w:lang w:eastAsia="et-EE"/>
              </w:rPr>
              <w:t>***</w:t>
            </w:r>
          </w:p>
        </w:tc>
        <w:tc>
          <w:tcPr>
            <w:tcW w:w="1276" w:type="dxa"/>
          </w:tcPr>
          <w:p w14:paraId="706629A9"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19</w:t>
            </w:r>
          </w:p>
        </w:tc>
        <w:tc>
          <w:tcPr>
            <w:tcW w:w="1337" w:type="dxa"/>
            <w:shd w:val="clear" w:color="auto" w:fill="auto"/>
          </w:tcPr>
          <w:p w14:paraId="1A591C34"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584A64B9" w14:textId="77777777" w:rsidTr="006A245D">
        <w:tc>
          <w:tcPr>
            <w:tcW w:w="1668" w:type="dxa"/>
            <w:shd w:val="clear" w:color="auto" w:fill="auto"/>
          </w:tcPr>
          <w:p w14:paraId="59932D71"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L03</w:t>
            </w:r>
          </w:p>
        </w:tc>
        <w:tc>
          <w:tcPr>
            <w:tcW w:w="4961" w:type="dxa"/>
            <w:shd w:val="clear" w:color="auto" w:fill="auto"/>
          </w:tcPr>
          <w:p w14:paraId="7E4321BD"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Immunostimulaatorid</w:t>
            </w:r>
            <w:proofErr w:type="spellEnd"/>
          </w:p>
        </w:tc>
        <w:tc>
          <w:tcPr>
            <w:tcW w:w="1276" w:type="dxa"/>
          </w:tcPr>
          <w:p w14:paraId="707239C2"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w:t>
            </w:r>
          </w:p>
        </w:tc>
        <w:tc>
          <w:tcPr>
            <w:tcW w:w="1337" w:type="dxa"/>
            <w:shd w:val="clear" w:color="auto" w:fill="auto"/>
          </w:tcPr>
          <w:p w14:paraId="691EA91B"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76CBEC1F" w14:textId="77777777" w:rsidTr="006A245D">
        <w:tc>
          <w:tcPr>
            <w:tcW w:w="1668" w:type="dxa"/>
            <w:shd w:val="clear" w:color="auto" w:fill="auto"/>
          </w:tcPr>
          <w:p w14:paraId="3906E6F9"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L04</w:t>
            </w:r>
          </w:p>
        </w:tc>
        <w:tc>
          <w:tcPr>
            <w:tcW w:w="4961" w:type="dxa"/>
            <w:shd w:val="clear" w:color="auto" w:fill="auto"/>
          </w:tcPr>
          <w:p w14:paraId="58D7A929"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Immunosupressandid</w:t>
            </w:r>
            <w:proofErr w:type="spellEnd"/>
          </w:p>
        </w:tc>
        <w:tc>
          <w:tcPr>
            <w:tcW w:w="1276" w:type="dxa"/>
          </w:tcPr>
          <w:p w14:paraId="64816767"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10</w:t>
            </w:r>
          </w:p>
        </w:tc>
        <w:tc>
          <w:tcPr>
            <w:tcW w:w="1337" w:type="dxa"/>
            <w:shd w:val="clear" w:color="auto" w:fill="auto"/>
          </w:tcPr>
          <w:p w14:paraId="5368CEA2" w14:textId="77777777" w:rsidR="00657B60"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r>
      <w:tr w:rsidR="001A7159" w:rsidRPr="001A7159" w14:paraId="61A0C943" w14:textId="77777777" w:rsidTr="006A245D">
        <w:tc>
          <w:tcPr>
            <w:tcW w:w="1668" w:type="dxa"/>
            <w:shd w:val="clear" w:color="auto" w:fill="auto"/>
          </w:tcPr>
          <w:p w14:paraId="082E6836"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L04 + L01 + B01</w:t>
            </w:r>
          </w:p>
        </w:tc>
        <w:tc>
          <w:tcPr>
            <w:tcW w:w="4961" w:type="dxa"/>
            <w:shd w:val="clear" w:color="auto" w:fill="auto"/>
          </w:tcPr>
          <w:p w14:paraId="77609856" w14:textId="77777777" w:rsidR="001A7159"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Immunosupressandid</w:t>
            </w:r>
            <w:proofErr w:type="spellEnd"/>
            <w:r>
              <w:rPr>
                <w:rFonts w:eastAsia="Times New Roman" w:cs="Arial"/>
                <w:color w:val="2B3244"/>
                <w:sz w:val="20"/>
                <w:szCs w:val="20"/>
                <w:lang w:eastAsia="et-EE"/>
              </w:rPr>
              <w:t xml:space="preserve"> + </w:t>
            </w:r>
            <w:r w:rsidR="00392889">
              <w:rPr>
                <w:rFonts w:eastAsia="Times New Roman" w:cs="Arial"/>
                <w:color w:val="2B3244"/>
                <w:sz w:val="20"/>
                <w:szCs w:val="20"/>
                <w:lang w:eastAsia="et-EE"/>
              </w:rPr>
              <w:t>k</w:t>
            </w:r>
            <w:r w:rsidRPr="001A7159">
              <w:rPr>
                <w:rFonts w:eastAsia="Times New Roman" w:cs="Arial"/>
                <w:color w:val="2B3244"/>
                <w:sz w:val="20"/>
                <w:szCs w:val="20"/>
                <w:lang w:eastAsia="et-EE"/>
              </w:rPr>
              <w:t>asvajavastased ained</w:t>
            </w:r>
            <w:r>
              <w:rPr>
                <w:rFonts w:eastAsia="Times New Roman" w:cs="Arial"/>
                <w:color w:val="2B3244"/>
                <w:sz w:val="20"/>
                <w:szCs w:val="20"/>
                <w:lang w:eastAsia="et-EE"/>
              </w:rPr>
              <w:t xml:space="preserve"> + </w:t>
            </w:r>
            <w:r w:rsidRPr="001A7159">
              <w:rPr>
                <w:rFonts w:eastAsia="Times New Roman" w:cs="Arial"/>
                <w:color w:val="2B3244"/>
                <w:sz w:val="20"/>
                <w:szCs w:val="20"/>
                <w:lang w:eastAsia="et-EE"/>
              </w:rPr>
              <w:t>Tromboosivastased ained</w:t>
            </w:r>
          </w:p>
        </w:tc>
        <w:tc>
          <w:tcPr>
            <w:tcW w:w="1276" w:type="dxa"/>
          </w:tcPr>
          <w:p w14:paraId="4FC10856"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3B69B711"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32A25C84" w14:textId="77777777" w:rsidTr="006A245D">
        <w:tc>
          <w:tcPr>
            <w:tcW w:w="1668" w:type="dxa"/>
            <w:shd w:val="clear" w:color="auto" w:fill="auto"/>
          </w:tcPr>
          <w:p w14:paraId="7055F11E"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L04 + M01</w:t>
            </w:r>
          </w:p>
        </w:tc>
        <w:tc>
          <w:tcPr>
            <w:tcW w:w="4961" w:type="dxa"/>
            <w:shd w:val="clear" w:color="auto" w:fill="auto"/>
          </w:tcPr>
          <w:p w14:paraId="2C100DAD" w14:textId="77777777" w:rsidR="001A7159"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Immunosupressandid</w:t>
            </w:r>
            <w:proofErr w:type="spellEnd"/>
            <w:r>
              <w:rPr>
                <w:rFonts w:eastAsia="Times New Roman" w:cs="Arial"/>
                <w:color w:val="2B3244"/>
                <w:sz w:val="20"/>
                <w:szCs w:val="20"/>
                <w:lang w:eastAsia="et-EE"/>
              </w:rPr>
              <w:t xml:space="preserve"> + </w:t>
            </w:r>
            <w:proofErr w:type="spellStart"/>
            <w:r w:rsidR="00392889">
              <w:rPr>
                <w:rFonts w:eastAsia="Times New Roman" w:cs="Arial"/>
                <w:color w:val="2B3244"/>
                <w:sz w:val="20"/>
                <w:szCs w:val="20"/>
                <w:lang w:eastAsia="et-EE"/>
              </w:rPr>
              <w:t>m</w:t>
            </w:r>
            <w:r w:rsidRPr="001A7159">
              <w:rPr>
                <w:rFonts w:eastAsia="Times New Roman" w:cs="Arial"/>
                <w:color w:val="2B3244"/>
                <w:sz w:val="20"/>
                <w:szCs w:val="20"/>
                <w:lang w:eastAsia="et-EE"/>
              </w:rPr>
              <w:t>ittesteroidsed</w:t>
            </w:r>
            <w:proofErr w:type="spellEnd"/>
            <w:r w:rsidRPr="001A7159">
              <w:rPr>
                <w:rFonts w:eastAsia="Times New Roman" w:cs="Arial"/>
                <w:color w:val="2B3244"/>
                <w:sz w:val="20"/>
                <w:szCs w:val="20"/>
                <w:lang w:eastAsia="et-EE"/>
              </w:rPr>
              <w:t xml:space="preserve"> põletiku- ja reumavastased ained</w:t>
            </w:r>
          </w:p>
        </w:tc>
        <w:tc>
          <w:tcPr>
            <w:tcW w:w="1276" w:type="dxa"/>
          </w:tcPr>
          <w:p w14:paraId="7EE97066" w14:textId="77777777" w:rsidR="001A7159"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5C89EEFE" w14:textId="77777777" w:rsidR="001A7159"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A7159" w:rsidRPr="001A7159" w14:paraId="19CDB059" w14:textId="77777777" w:rsidTr="006A245D">
        <w:tc>
          <w:tcPr>
            <w:tcW w:w="1668" w:type="dxa"/>
            <w:shd w:val="clear" w:color="auto" w:fill="auto"/>
          </w:tcPr>
          <w:p w14:paraId="19C4106B" w14:textId="77777777" w:rsidR="001A7159" w:rsidRPr="001A7159" w:rsidRDefault="001A7159">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L04 + H02</w:t>
            </w:r>
          </w:p>
        </w:tc>
        <w:tc>
          <w:tcPr>
            <w:tcW w:w="4961" w:type="dxa"/>
            <w:shd w:val="clear" w:color="auto" w:fill="auto"/>
          </w:tcPr>
          <w:p w14:paraId="11B691E5" w14:textId="77777777" w:rsidR="001A7159"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Immunosupressandid</w:t>
            </w:r>
            <w:proofErr w:type="spellEnd"/>
            <w:r w:rsidR="00392889">
              <w:rPr>
                <w:rFonts w:eastAsia="Times New Roman" w:cs="Arial"/>
                <w:color w:val="2B3244"/>
                <w:sz w:val="20"/>
                <w:szCs w:val="20"/>
                <w:lang w:eastAsia="et-EE"/>
              </w:rPr>
              <w:t xml:space="preserve"> + </w:t>
            </w:r>
            <w:proofErr w:type="spellStart"/>
            <w:r w:rsidR="00392889">
              <w:rPr>
                <w:rFonts w:eastAsia="Times New Roman" w:cs="Arial"/>
                <w:color w:val="2B3244"/>
                <w:sz w:val="20"/>
                <w:szCs w:val="20"/>
                <w:lang w:eastAsia="et-EE"/>
              </w:rPr>
              <w:t>k</w:t>
            </w:r>
            <w:r>
              <w:rPr>
                <w:rFonts w:eastAsia="Times New Roman" w:cs="Arial"/>
                <w:color w:val="2B3244"/>
                <w:sz w:val="20"/>
                <w:szCs w:val="20"/>
                <w:lang w:eastAsia="et-EE"/>
              </w:rPr>
              <w:t>ortikosteroidid</w:t>
            </w:r>
            <w:proofErr w:type="spellEnd"/>
            <w:r>
              <w:rPr>
                <w:rFonts w:eastAsia="Times New Roman" w:cs="Arial"/>
                <w:color w:val="2B3244"/>
                <w:sz w:val="20"/>
                <w:szCs w:val="20"/>
                <w:lang w:eastAsia="et-EE"/>
              </w:rPr>
              <w:t xml:space="preserve"> süsteemseks kasutamiseks</w:t>
            </w:r>
          </w:p>
        </w:tc>
        <w:tc>
          <w:tcPr>
            <w:tcW w:w="1276" w:type="dxa"/>
          </w:tcPr>
          <w:p w14:paraId="2407BA70" w14:textId="77777777" w:rsidR="001A7159"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57880FA9" w14:textId="77777777" w:rsidR="001A7159"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388205BC" w14:textId="77777777" w:rsidTr="006A245D">
        <w:tc>
          <w:tcPr>
            <w:tcW w:w="1668" w:type="dxa"/>
            <w:shd w:val="clear" w:color="auto" w:fill="auto"/>
          </w:tcPr>
          <w:p w14:paraId="02F2F3AB"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M01</w:t>
            </w:r>
          </w:p>
        </w:tc>
        <w:tc>
          <w:tcPr>
            <w:tcW w:w="4961" w:type="dxa"/>
            <w:shd w:val="clear" w:color="auto" w:fill="auto"/>
          </w:tcPr>
          <w:p w14:paraId="3D7A967A"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Mittesteroidsed</w:t>
            </w:r>
            <w:proofErr w:type="spellEnd"/>
            <w:r w:rsidRPr="001A7159">
              <w:rPr>
                <w:rFonts w:eastAsia="Times New Roman" w:cs="Arial"/>
                <w:color w:val="2B3244"/>
                <w:sz w:val="20"/>
                <w:szCs w:val="20"/>
                <w:lang w:eastAsia="et-EE"/>
              </w:rPr>
              <w:t xml:space="preserve"> põletiku- ja reumavastased ained</w:t>
            </w:r>
          </w:p>
        </w:tc>
        <w:tc>
          <w:tcPr>
            <w:tcW w:w="1276" w:type="dxa"/>
          </w:tcPr>
          <w:p w14:paraId="22EB985F"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43413B05"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4</w:t>
            </w:r>
          </w:p>
        </w:tc>
      </w:tr>
      <w:tr w:rsidR="00133F70" w:rsidRPr="001A7159" w14:paraId="0B41FAF8" w14:textId="77777777" w:rsidTr="006A245D">
        <w:tc>
          <w:tcPr>
            <w:tcW w:w="1668" w:type="dxa"/>
            <w:shd w:val="clear" w:color="auto" w:fill="auto"/>
          </w:tcPr>
          <w:p w14:paraId="6F22CBBF"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M01 + H02</w:t>
            </w:r>
          </w:p>
        </w:tc>
        <w:tc>
          <w:tcPr>
            <w:tcW w:w="4961" w:type="dxa"/>
            <w:shd w:val="clear" w:color="auto" w:fill="auto"/>
          </w:tcPr>
          <w:p w14:paraId="24EF3F0C"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Mittesteroidsed</w:t>
            </w:r>
            <w:proofErr w:type="spellEnd"/>
            <w:r w:rsidRPr="001A7159">
              <w:rPr>
                <w:rFonts w:eastAsia="Times New Roman" w:cs="Arial"/>
                <w:color w:val="2B3244"/>
                <w:sz w:val="20"/>
                <w:szCs w:val="20"/>
                <w:lang w:eastAsia="et-EE"/>
              </w:rPr>
              <w:t xml:space="preserve"> põletiku- ja reumavastased ained</w:t>
            </w:r>
            <w:r w:rsidR="00392889">
              <w:rPr>
                <w:rFonts w:eastAsia="Times New Roman" w:cs="Arial"/>
                <w:color w:val="2B3244"/>
                <w:sz w:val="20"/>
                <w:szCs w:val="20"/>
                <w:lang w:eastAsia="et-EE"/>
              </w:rPr>
              <w:t xml:space="preserve"> + </w:t>
            </w:r>
            <w:proofErr w:type="spellStart"/>
            <w:r w:rsidR="00392889">
              <w:rPr>
                <w:rFonts w:eastAsia="Times New Roman" w:cs="Arial"/>
                <w:color w:val="2B3244"/>
                <w:sz w:val="20"/>
                <w:szCs w:val="20"/>
                <w:lang w:eastAsia="et-EE"/>
              </w:rPr>
              <w:t>k</w:t>
            </w:r>
            <w:r>
              <w:rPr>
                <w:rFonts w:eastAsia="Times New Roman" w:cs="Arial"/>
                <w:color w:val="2B3244"/>
                <w:sz w:val="20"/>
                <w:szCs w:val="20"/>
                <w:lang w:eastAsia="et-EE"/>
              </w:rPr>
              <w:t>ortikosteroidid</w:t>
            </w:r>
            <w:proofErr w:type="spellEnd"/>
            <w:r>
              <w:rPr>
                <w:rFonts w:eastAsia="Times New Roman" w:cs="Arial"/>
                <w:color w:val="2B3244"/>
                <w:sz w:val="20"/>
                <w:szCs w:val="20"/>
                <w:lang w:eastAsia="et-EE"/>
              </w:rPr>
              <w:t xml:space="preserve"> süsteemseks kasutamiseks</w:t>
            </w:r>
          </w:p>
        </w:tc>
        <w:tc>
          <w:tcPr>
            <w:tcW w:w="1276" w:type="dxa"/>
          </w:tcPr>
          <w:p w14:paraId="09526F21"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3A7DE835"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33F70" w:rsidRPr="001A7159" w14:paraId="3F86641C" w14:textId="77777777" w:rsidTr="006A245D">
        <w:tc>
          <w:tcPr>
            <w:tcW w:w="1668" w:type="dxa"/>
            <w:shd w:val="clear" w:color="auto" w:fill="auto"/>
          </w:tcPr>
          <w:p w14:paraId="7D45BB08"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M01 + A07</w:t>
            </w:r>
          </w:p>
        </w:tc>
        <w:tc>
          <w:tcPr>
            <w:tcW w:w="4961" w:type="dxa"/>
            <w:shd w:val="clear" w:color="auto" w:fill="auto"/>
          </w:tcPr>
          <w:p w14:paraId="772511EC"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sidRPr="001A7159">
              <w:rPr>
                <w:rFonts w:eastAsia="Times New Roman" w:cs="Arial"/>
                <w:color w:val="2B3244"/>
                <w:sz w:val="20"/>
                <w:szCs w:val="20"/>
                <w:lang w:eastAsia="et-EE"/>
              </w:rPr>
              <w:t>Mittesteroidsed</w:t>
            </w:r>
            <w:proofErr w:type="spellEnd"/>
            <w:r w:rsidRPr="001A7159">
              <w:rPr>
                <w:rFonts w:eastAsia="Times New Roman" w:cs="Arial"/>
                <w:color w:val="2B3244"/>
                <w:sz w:val="20"/>
                <w:szCs w:val="20"/>
                <w:lang w:eastAsia="et-EE"/>
              </w:rPr>
              <w:t xml:space="preserve"> põletiku- ja reumavastased ained</w:t>
            </w:r>
            <w:r w:rsidR="00392889">
              <w:rPr>
                <w:rFonts w:eastAsia="Times New Roman" w:cs="Arial"/>
                <w:color w:val="2B3244"/>
                <w:sz w:val="20"/>
                <w:szCs w:val="20"/>
                <w:lang w:eastAsia="et-EE"/>
              </w:rPr>
              <w:t xml:space="preserve"> + k</w:t>
            </w:r>
            <w:r>
              <w:rPr>
                <w:rFonts w:eastAsia="Times New Roman" w:cs="Arial"/>
                <w:color w:val="2B3244"/>
                <w:sz w:val="20"/>
                <w:szCs w:val="20"/>
                <w:lang w:eastAsia="et-EE"/>
              </w:rPr>
              <w:t>õhulahtisuse-, soolepõletiku- ja sooleinfektsioonivastased ained</w:t>
            </w:r>
          </w:p>
        </w:tc>
        <w:tc>
          <w:tcPr>
            <w:tcW w:w="1276" w:type="dxa"/>
          </w:tcPr>
          <w:p w14:paraId="642D79DA"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3FA8886C"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33F70" w:rsidRPr="001A7159" w14:paraId="28AB60EF" w14:textId="77777777" w:rsidTr="006A245D">
        <w:tc>
          <w:tcPr>
            <w:tcW w:w="1668" w:type="dxa"/>
            <w:shd w:val="clear" w:color="auto" w:fill="auto"/>
          </w:tcPr>
          <w:p w14:paraId="21BB6DF3"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M05</w:t>
            </w:r>
          </w:p>
        </w:tc>
        <w:tc>
          <w:tcPr>
            <w:tcW w:w="4961" w:type="dxa"/>
            <w:shd w:val="clear" w:color="auto" w:fill="auto"/>
          </w:tcPr>
          <w:p w14:paraId="2E75CCB5"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Luuhaiguste raviks kasutatavad ained</w:t>
            </w:r>
          </w:p>
        </w:tc>
        <w:tc>
          <w:tcPr>
            <w:tcW w:w="1276" w:type="dxa"/>
          </w:tcPr>
          <w:p w14:paraId="783B15E4"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3</w:t>
            </w:r>
          </w:p>
        </w:tc>
        <w:tc>
          <w:tcPr>
            <w:tcW w:w="1337" w:type="dxa"/>
            <w:shd w:val="clear" w:color="auto" w:fill="auto"/>
          </w:tcPr>
          <w:p w14:paraId="0DC3B960"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537E1474" w14:textId="77777777" w:rsidTr="006A245D">
        <w:trPr>
          <w:trHeight w:val="364"/>
        </w:trPr>
        <w:tc>
          <w:tcPr>
            <w:tcW w:w="1668" w:type="dxa"/>
            <w:shd w:val="clear" w:color="auto" w:fill="auto"/>
          </w:tcPr>
          <w:p w14:paraId="51B2681F"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N02</w:t>
            </w:r>
          </w:p>
        </w:tc>
        <w:tc>
          <w:tcPr>
            <w:tcW w:w="4961" w:type="dxa"/>
            <w:shd w:val="clear" w:color="auto" w:fill="auto"/>
          </w:tcPr>
          <w:p w14:paraId="4451490D"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Analgeetikumid</w:t>
            </w:r>
          </w:p>
        </w:tc>
        <w:tc>
          <w:tcPr>
            <w:tcW w:w="1276" w:type="dxa"/>
          </w:tcPr>
          <w:p w14:paraId="7D6C3EC0"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3CB05372"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r>
      <w:tr w:rsidR="00133F70" w:rsidRPr="001A7159" w14:paraId="19061C6E" w14:textId="77777777" w:rsidTr="006A245D">
        <w:tc>
          <w:tcPr>
            <w:tcW w:w="1668" w:type="dxa"/>
            <w:shd w:val="clear" w:color="auto" w:fill="auto"/>
          </w:tcPr>
          <w:p w14:paraId="26E39064"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N03</w:t>
            </w:r>
          </w:p>
        </w:tc>
        <w:tc>
          <w:tcPr>
            <w:tcW w:w="4961" w:type="dxa"/>
            <w:shd w:val="clear" w:color="auto" w:fill="auto"/>
          </w:tcPr>
          <w:p w14:paraId="03271589"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Epilepsiavastased ained</w:t>
            </w:r>
          </w:p>
        </w:tc>
        <w:tc>
          <w:tcPr>
            <w:tcW w:w="1276" w:type="dxa"/>
          </w:tcPr>
          <w:p w14:paraId="0D71EE02"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66C46FE9"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133F70" w:rsidRPr="001A7159" w14:paraId="1DE402A1" w14:textId="77777777" w:rsidTr="006A245D">
        <w:tc>
          <w:tcPr>
            <w:tcW w:w="1668" w:type="dxa"/>
            <w:shd w:val="clear" w:color="auto" w:fill="auto"/>
          </w:tcPr>
          <w:p w14:paraId="1A7D7930"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N04</w:t>
            </w:r>
          </w:p>
        </w:tc>
        <w:tc>
          <w:tcPr>
            <w:tcW w:w="4961" w:type="dxa"/>
            <w:shd w:val="clear" w:color="auto" w:fill="auto"/>
          </w:tcPr>
          <w:p w14:paraId="5A9ED604"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proofErr w:type="spellStart"/>
            <w:r>
              <w:rPr>
                <w:rFonts w:eastAsia="Times New Roman" w:cs="Arial"/>
                <w:color w:val="2B3244"/>
                <w:sz w:val="20"/>
                <w:szCs w:val="20"/>
                <w:lang w:eastAsia="et-EE"/>
              </w:rPr>
              <w:t>Parkinsonismivastased</w:t>
            </w:r>
            <w:proofErr w:type="spellEnd"/>
            <w:r>
              <w:rPr>
                <w:rFonts w:eastAsia="Times New Roman" w:cs="Arial"/>
                <w:color w:val="2B3244"/>
                <w:sz w:val="20"/>
                <w:szCs w:val="20"/>
                <w:lang w:eastAsia="et-EE"/>
              </w:rPr>
              <w:t xml:space="preserve"> ained</w:t>
            </w:r>
          </w:p>
        </w:tc>
        <w:tc>
          <w:tcPr>
            <w:tcW w:w="1276" w:type="dxa"/>
          </w:tcPr>
          <w:p w14:paraId="1A853E68"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04B7E54A"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133F70" w:rsidRPr="001A7159" w14:paraId="194A931B" w14:textId="77777777" w:rsidTr="006A245D">
        <w:tc>
          <w:tcPr>
            <w:tcW w:w="1668" w:type="dxa"/>
            <w:shd w:val="clear" w:color="auto" w:fill="auto"/>
          </w:tcPr>
          <w:p w14:paraId="4F459D8C"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N03 + N04</w:t>
            </w:r>
          </w:p>
        </w:tc>
        <w:tc>
          <w:tcPr>
            <w:tcW w:w="4961" w:type="dxa"/>
            <w:shd w:val="clear" w:color="auto" w:fill="auto"/>
          </w:tcPr>
          <w:p w14:paraId="3CB9F381" w14:textId="77777777" w:rsidR="00133F70" w:rsidRPr="001A7159" w:rsidRDefault="00392889">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 xml:space="preserve">Epilepsiavastased ained + </w:t>
            </w:r>
            <w:proofErr w:type="spellStart"/>
            <w:r>
              <w:rPr>
                <w:rFonts w:eastAsia="Times New Roman" w:cs="Arial"/>
                <w:color w:val="2B3244"/>
                <w:sz w:val="20"/>
                <w:szCs w:val="20"/>
                <w:lang w:eastAsia="et-EE"/>
              </w:rPr>
              <w:t>p</w:t>
            </w:r>
            <w:r w:rsidR="002B7BEC">
              <w:rPr>
                <w:rFonts w:eastAsia="Times New Roman" w:cs="Arial"/>
                <w:color w:val="2B3244"/>
                <w:sz w:val="20"/>
                <w:szCs w:val="20"/>
                <w:lang w:eastAsia="et-EE"/>
              </w:rPr>
              <w:t>arkinsonismivastased</w:t>
            </w:r>
            <w:proofErr w:type="spellEnd"/>
            <w:r w:rsidR="002B7BEC">
              <w:rPr>
                <w:rFonts w:eastAsia="Times New Roman" w:cs="Arial"/>
                <w:color w:val="2B3244"/>
                <w:sz w:val="20"/>
                <w:szCs w:val="20"/>
                <w:lang w:eastAsia="et-EE"/>
              </w:rPr>
              <w:t xml:space="preserve"> ained</w:t>
            </w:r>
          </w:p>
        </w:tc>
        <w:tc>
          <w:tcPr>
            <w:tcW w:w="1276" w:type="dxa"/>
          </w:tcPr>
          <w:p w14:paraId="44BF6811" w14:textId="77777777" w:rsidR="00133F70"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7E082399" w14:textId="77777777" w:rsidR="00133F70"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r>
      <w:tr w:rsidR="00657B60" w:rsidRPr="001A7159" w14:paraId="6A735F89" w14:textId="77777777" w:rsidTr="006A245D">
        <w:tc>
          <w:tcPr>
            <w:tcW w:w="1668" w:type="dxa"/>
            <w:shd w:val="clear" w:color="auto" w:fill="auto"/>
          </w:tcPr>
          <w:p w14:paraId="5CFA2349"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N06</w:t>
            </w:r>
          </w:p>
        </w:tc>
        <w:tc>
          <w:tcPr>
            <w:tcW w:w="4961" w:type="dxa"/>
            <w:shd w:val="clear" w:color="auto" w:fill="auto"/>
          </w:tcPr>
          <w:p w14:paraId="0328955E"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Psühhoanaleptikumid</w:t>
            </w:r>
          </w:p>
        </w:tc>
        <w:tc>
          <w:tcPr>
            <w:tcW w:w="1276" w:type="dxa"/>
          </w:tcPr>
          <w:p w14:paraId="46F6F590"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c>
          <w:tcPr>
            <w:tcW w:w="1337" w:type="dxa"/>
            <w:shd w:val="clear" w:color="auto" w:fill="auto"/>
          </w:tcPr>
          <w:p w14:paraId="0B377AEC"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702BA794" w14:textId="77777777" w:rsidTr="006A245D">
        <w:tc>
          <w:tcPr>
            <w:tcW w:w="1668" w:type="dxa"/>
            <w:shd w:val="clear" w:color="auto" w:fill="auto"/>
          </w:tcPr>
          <w:p w14:paraId="672506A0"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R01</w:t>
            </w:r>
          </w:p>
        </w:tc>
        <w:tc>
          <w:tcPr>
            <w:tcW w:w="4961" w:type="dxa"/>
            <w:shd w:val="clear" w:color="auto" w:fill="auto"/>
          </w:tcPr>
          <w:p w14:paraId="127C0BA2"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Nasaalsed preparaadid</w:t>
            </w:r>
          </w:p>
        </w:tc>
        <w:tc>
          <w:tcPr>
            <w:tcW w:w="1276" w:type="dxa"/>
          </w:tcPr>
          <w:p w14:paraId="3BD701B8"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4269CEB4"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r w:rsidR="00657B60" w:rsidRPr="001A7159" w14:paraId="0E5F34B0" w14:textId="77777777" w:rsidTr="006A245D">
        <w:tc>
          <w:tcPr>
            <w:tcW w:w="1668" w:type="dxa"/>
            <w:shd w:val="clear" w:color="auto" w:fill="auto"/>
          </w:tcPr>
          <w:p w14:paraId="55C8D0F3"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R03</w:t>
            </w:r>
          </w:p>
        </w:tc>
        <w:tc>
          <w:tcPr>
            <w:tcW w:w="4961" w:type="dxa"/>
            <w:shd w:val="clear" w:color="auto" w:fill="auto"/>
          </w:tcPr>
          <w:p w14:paraId="1404E19B" w14:textId="77777777" w:rsidR="00657B60" w:rsidRPr="001A7159" w:rsidRDefault="006A17A0">
            <w:pPr>
              <w:spacing w:before="100" w:beforeAutospacing="1" w:after="100" w:afterAutospacing="1" w:line="336" w:lineRule="auto"/>
              <w:rPr>
                <w:rFonts w:eastAsia="Times New Roman" w:cs="Arial"/>
                <w:color w:val="2B3244"/>
                <w:sz w:val="20"/>
                <w:szCs w:val="20"/>
                <w:lang w:eastAsia="et-EE"/>
              </w:rPr>
            </w:pPr>
            <w:r w:rsidRPr="001A7159">
              <w:rPr>
                <w:rFonts w:eastAsia="Times New Roman" w:cs="Arial"/>
                <w:color w:val="2B3244"/>
                <w:sz w:val="20"/>
                <w:szCs w:val="20"/>
                <w:lang w:eastAsia="et-EE"/>
              </w:rPr>
              <w:t>Hingamisteede obstruktiivsete haiguste raviks kasutatavad ained</w:t>
            </w:r>
          </w:p>
        </w:tc>
        <w:tc>
          <w:tcPr>
            <w:tcW w:w="1276" w:type="dxa"/>
          </w:tcPr>
          <w:p w14:paraId="1A4FBD4B"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c>
          <w:tcPr>
            <w:tcW w:w="1337" w:type="dxa"/>
            <w:shd w:val="clear" w:color="auto" w:fill="auto"/>
          </w:tcPr>
          <w:p w14:paraId="001DB2C1" w14:textId="77777777" w:rsidR="00657B6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2</w:t>
            </w:r>
          </w:p>
        </w:tc>
      </w:tr>
      <w:tr w:rsidR="00133F70" w:rsidRPr="001A7159" w14:paraId="7C0E2624" w14:textId="77777777" w:rsidTr="006A245D">
        <w:tc>
          <w:tcPr>
            <w:tcW w:w="1668" w:type="dxa"/>
            <w:shd w:val="clear" w:color="auto" w:fill="auto"/>
          </w:tcPr>
          <w:p w14:paraId="7574FB9C"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V01</w:t>
            </w:r>
          </w:p>
        </w:tc>
        <w:tc>
          <w:tcPr>
            <w:tcW w:w="4961" w:type="dxa"/>
            <w:shd w:val="clear" w:color="auto" w:fill="auto"/>
          </w:tcPr>
          <w:p w14:paraId="23E5764F" w14:textId="77777777" w:rsidR="00133F70" w:rsidRPr="001A7159" w:rsidRDefault="002B7BEC">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Allergeenid</w:t>
            </w:r>
          </w:p>
        </w:tc>
        <w:tc>
          <w:tcPr>
            <w:tcW w:w="1276" w:type="dxa"/>
          </w:tcPr>
          <w:p w14:paraId="34F86A46"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0</w:t>
            </w:r>
          </w:p>
        </w:tc>
        <w:tc>
          <w:tcPr>
            <w:tcW w:w="1337" w:type="dxa"/>
            <w:shd w:val="clear" w:color="auto" w:fill="auto"/>
          </w:tcPr>
          <w:p w14:paraId="3911D466" w14:textId="77777777" w:rsidR="00133F70" w:rsidRPr="001A7159" w:rsidRDefault="00133F70">
            <w:pPr>
              <w:spacing w:before="100" w:beforeAutospacing="1" w:after="100" w:afterAutospacing="1" w:line="336" w:lineRule="auto"/>
              <w:rPr>
                <w:rFonts w:eastAsia="Times New Roman" w:cs="Arial"/>
                <w:color w:val="2B3244"/>
                <w:sz w:val="20"/>
                <w:szCs w:val="20"/>
                <w:lang w:eastAsia="et-EE"/>
              </w:rPr>
            </w:pPr>
            <w:r>
              <w:rPr>
                <w:rFonts w:eastAsia="Times New Roman" w:cs="Arial"/>
                <w:color w:val="2B3244"/>
                <w:sz w:val="20"/>
                <w:szCs w:val="20"/>
                <w:lang w:eastAsia="et-EE"/>
              </w:rPr>
              <w:t>1</w:t>
            </w:r>
          </w:p>
        </w:tc>
      </w:tr>
    </w:tbl>
    <w:p w14:paraId="45DA3228" w14:textId="77777777" w:rsidR="004D685E" w:rsidRPr="00BD662F" w:rsidRDefault="004D685E">
      <w:pPr>
        <w:spacing w:before="100" w:beforeAutospacing="1" w:after="100" w:afterAutospacing="1" w:line="336" w:lineRule="auto"/>
        <w:rPr>
          <w:rFonts w:eastAsia="Times New Roman" w:cs="Arial"/>
          <w:color w:val="2B3244"/>
          <w:lang w:eastAsia="et-EE"/>
        </w:rPr>
      </w:pPr>
      <w:r w:rsidRPr="00BD662F">
        <w:rPr>
          <w:rFonts w:eastAsia="Times New Roman" w:cs="Arial"/>
          <w:color w:val="2B3244"/>
          <w:vertAlign w:val="superscript"/>
          <w:lang w:eastAsia="et-EE"/>
        </w:rPr>
        <w:t>a</w:t>
      </w:r>
      <w:r w:rsidRPr="00BD662F">
        <w:rPr>
          <w:rFonts w:eastAsia="Times New Roman" w:cs="Arial"/>
          <w:color w:val="2B3244"/>
          <w:lang w:eastAsia="et-EE"/>
        </w:rPr>
        <w:t xml:space="preserve"> kahe või enama ravimrühma kombinatsioon (nt B01 + M01)</w:t>
      </w:r>
      <w:r w:rsidRPr="00BD662F">
        <w:rPr>
          <w:rFonts w:eastAsia="Times New Roman" w:cs="Arial"/>
          <w:color w:val="2B3244"/>
          <w:vertAlign w:val="superscript"/>
          <w:lang w:eastAsia="et-EE"/>
        </w:rPr>
        <w:t xml:space="preserve"> </w:t>
      </w:r>
      <w:r w:rsidRPr="00BD662F">
        <w:rPr>
          <w:rFonts w:eastAsia="Times New Roman" w:cs="Arial"/>
          <w:color w:val="2B3244"/>
          <w:lang w:eastAsia="et-EE"/>
        </w:rPr>
        <w:t xml:space="preserve">tähendab seda, et kõrvaltoime </w:t>
      </w:r>
      <w:proofErr w:type="spellStart"/>
      <w:r w:rsidRPr="00BD662F">
        <w:rPr>
          <w:rFonts w:eastAsia="Times New Roman" w:cs="Arial"/>
          <w:color w:val="2B3244"/>
          <w:lang w:eastAsia="et-EE"/>
        </w:rPr>
        <w:t>teatis(tes</w:t>
      </w:r>
      <w:proofErr w:type="spellEnd"/>
      <w:r w:rsidRPr="00BD662F">
        <w:rPr>
          <w:rFonts w:eastAsia="Times New Roman" w:cs="Arial"/>
          <w:color w:val="2B3244"/>
          <w:lang w:eastAsia="et-EE"/>
        </w:rPr>
        <w:t>) on reaktsiooni seostatud enam kui ühe ravimiga.</w:t>
      </w:r>
    </w:p>
    <w:p w14:paraId="5EC304C4"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 Tromboosivastaste ravimitega seotud suhteliselt suur teatiste arv võib olla tingitud mitmest võimalikust põhjusest, näiteks patsientide raske üldseisund, kõrge vanus, kaasuvad haigused ja teised samal ajal kasutatavad ravimid ning mitmete </w:t>
      </w:r>
      <w:proofErr w:type="spellStart"/>
      <w:r w:rsidRPr="00BD662F">
        <w:rPr>
          <w:rFonts w:eastAsia="Times New Roman" w:cs="Arial"/>
          <w:color w:val="2B3244"/>
          <w:lang w:eastAsia="et-EE"/>
        </w:rPr>
        <w:t>kardiovaskulaarsete</w:t>
      </w:r>
      <w:proofErr w:type="spellEnd"/>
      <w:r w:rsidRPr="00BD662F">
        <w:rPr>
          <w:rFonts w:eastAsia="Times New Roman" w:cs="Arial"/>
          <w:color w:val="2B3244"/>
          <w:lang w:eastAsia="et-EE"/>
        </w:rPr>
        <w:t xml:space="preserve"> riskifaktorite olemasolu.  </w:t>
      </w:r>
    </w:p>
    <w:p w14:paraId="7A9AC40B"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 Vaktsiinide kasutamisega seoses teatatud kõrvaltoimetest on ülevaade toodud allpool. </w:t>
      </w:r>
    </w:p>
    <w:p w14:paraId="1E5FC8F8"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 Kasvajavastased ained ja </w:t>
      </w:r>
      <w:proofErr w:type="spellStart"/>
      <w:r w:rsidRPr="00BD662F">
        <w:rPr>
          <w:rFonts w:eastAsia="Times New Roman" w:cs="Arial"/>
          <w:color w:val="2B3244"/>
          <w:lang w:eastAsia="et-EE"/>
        </w:rPr>
        <w:t>immunosupressandid</w:t>
      </w:r>
      <w:proofErr w:type="spellEnd"/>
      <w:r w:rsidRPr="00BD662F">
        <w:rPr>
          <w:rFonts w:eastAsia="Times New Roman" w:cs="Arial"/>
          <w:color w:val="2B3244"/>
          <w:lang w:eastAsia="et-EE"/>
        </w:rPr>
        <w:t xml:space="preserve"> on väga spetsiifilised ravimid ning neil on teadaolevalt palju tõsiseid kõrvaltoimeid. </w:t>
      </w:r>
    </w:p>
    <w:p w14:paraId="5BAD8605" w14:textId="77777777" w:rsidR="00657B60" w:rsidRPr="008500AB" w:rsidRDefault="006A17A0">
      <w:pPr>
        <w:spacing w:before="100" w:beforeAutospacing="1" w:after="100" w:afterAutospacing="1" w:line="336" w:lineRule="auto"/>
        <w:rPr>
          <w:rFonts w:eastAsia="Times New Roman" w:cs="Arial"/>
          <w:color w:val="2B3244"/>
          <w:sz w:val="20"/>
          <w:szCs w:val="20"/>
          <w:lang w:eastAsia="et-EE"/>
        </w:rPr>
      </w:pPr>
      <w:r w:rsidRPr="00E1667A">
        <w:rPr>
          <w:rFonts w:eastAsia="Times New Roman" w:cs="Arial"/>
          <w:b/>
          <w:bCs/>
          <w:color w:val="2B3244"/>
          <w:sz w:val="27"/>
          <w:szCs w:val="27"/>
          <w:lang w:eastAsia="et-EE"/>
        </w:rPr>
        <w:lastRenderedPageBreak/>
        <w:t>Ravimite seniteadmata võimalikud kõrvaltoimed</w:t>
      </w:r>
    </w:p>
    <w:p w14:paraId="2AFB42F0" w14:textId="77777777" w:rsidR="00657B60" w:rsidRPr="00BD662F"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 xml:space="preserve">Seniteadmata kõrvaltoimeteks liigitatakse sellised ravimi kasutamisel ilmnevad reaktsioonid, mida ei ole varem piisava sagedusega ilmnenud ning nende seos ravimiga ei ole kindel, mistõttu ei ole neid ka ravimiinfodes (ravimi omaduste kokkuvõte/pakendi infoleht) kirjeldatud. </w:t>
      </w:r>
      <w:proofErr w:type="spellStart"/>
      <w:r w:rsidRPr="00BD662F">
        <w:rPr>
          <w:rFonts w:eastAsia="Times New Roman" w:cs="Arial"/>
          <w:color w:val="2B3244"/>
          <w:lang w:eastAsia="et-EE"/>
        </w:rPr>
        <w:t>Turuletulekujärgselt</w:t>
      </w:r>
      <w:proofErr w:type="spellEnd"/>
      <w:r w:rsidRPr="00BD662F">
        <w:rPr>
          <w:rFonts w:eastAsia="Times New Roman" w:cs="Arial"/>
          <w:color w:val="2B3244"/>
          <w:lang w:eastAsia="et-EE"/>
        </w:rPr>
        <w:t xml:space="preserve"> ongi peamine rõhk selliste kõrvaltoimete avastamisel. Kui mõnest kõrvalnähust teatatakse sagedamini ja hinnangu tulemusel selgub, et kõrvalnähu ja ravimi vahel on kindel seos, siis see kõrvaltoime lisatakse ravimi omaduste kokkuvõttesse.</w:t>
      </w:r>
    </w:p>
    <w:p w14:paraId="0443B1DB" w14:textId="77777777" w:rsidR="00657B60" w:rsidRDefault="006A17A0">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Alljärgnevalt on toodud tõsiste juhtude loetelu, mille puhul ravimi ja reaktsiooni tekke vahel esines vähemalt ajaline seos. Mainitud reaktsioonid ei pruugi olla ravimist tingitud ning nende andmete põhjal ei tohi/ei saa erinevaid ravimeid omavahel võrrelda või anda hinnanguid nimetatud ravimitele.</w:t>
      </w:r>
    </w:p>
    <w:p w14:paraId="6B1B8134"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Totsilizumab</w:t>
      </w:r>
      <w:proofErr w:type="spellEnd"/>
      <w:r w:rsidRPr="00F21122">
        <w:rPr>
          <w:rFonts w:eastAsia="Times New Roman" w:cs="Arial"/>
          <w:color w:val="2B3244"/>
          <w:lang w:eastAsia="et-EE"/>
        </w:rPr>
        <w:t xml:space="preserve"> / juuste ning ripsmete väljalangemine</w:t>
      </w:r>
    </w:p>
    <w:p w14:paraId="193886FA"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Rosuvastatiin</w:t>
      </w:r>
      <w:proofErr w:type="spellEnd"/>
      <w:r w:rsidRPr="00F21122">
        <w:rPr>
          <w:rFonts w:eastAsia="Times New Roman" w:cs="Arial"/>
          <w:color w:val="2B3244"/>
          <w:lang w:eastAsia="et-EE"/>
        </w:rPr>
        <w:t xml:space="preserve"> / bronhiaalastma</w:t>
      </w:r>
    </w:p>
    <w:p w14:paraId="289EEBA1"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Ibrutiniib</w:t>
      </w:r>
      <w:proofErr w:type="spellEnd"/>
      <w:r w:rsidRPr="00F21122">
        <w:rPr>
          <w:rFonts w:eastAsia="Times New Roman" w:cs="Arial"/>
          <w:color w:val="2B3244"/>
          <w:lang w:eastAsia="et-EE"/>
        </w:rPr>
        <w:t xml:space="preserve"> / Richteri transformatsioon (verevähi tüübi muutus)</w:t>
      </w:r>
    </w:p>
    <w:p w14:paraId="73C24BEA"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Ulipristaal</w:t>
      </w:r>
      <w:proofErr w:type="spellEnd"/>
      <w:r w:rsidRPr="00F21122">
        <w:rPr>
          <w:rFonts w:eastAsia="Times New Roman" w:cs="Arial"/>
          <w:color w:val="2B3244"/>
          <w:lang w:eastAsia="et-EE"/>
        </w:rPr>
        <w:t xml:space="preserve"> / </w:t>
      </w:r>
      <w:proofErr w:type="spellStart"/>
      <w:r w:rsidRPr="00F21122">
        <w:rPr>
          <w:rFonts w:eastAsia="Times New Roman" w:cs="Arial"/>
          <w:color w:val="2B3244"/>
          <w:lang w:eastAsia="et-EE"/>
        </w:rPr>
        <w:t>subkutaansed</w:t>
      </w:r>
      <w:proofErr w:type="spellEnd"/>
      <w:r w:rsidRPr="00F21122">
        <w:rPr>
          <w:rFonts w:eastAsia="Times New Roman" w:cs="Arial"/>
          <w:color w:val="2B3244"/>
          <w:lang w:eastAsia="et-EE"/>
        </w:rPr>
        <w:t xml:space="preserve"> abstsessid (mädakolded)</w:t>
      </w:r>
    </w:p>
    <w:p w14:paraId="7FE73455"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Desmopressiin</w:t>
      </w:r>
      <w:proofErr w:type="spellEnd"/>
      <w:r w:rsidRPr="00F21122">
        <w:rPr>
          <w:rFonts w:eastAsia="Times New Roman" w:cs="Arial"/>
          <w:color w:val="2B3244"/>
          <w:lang w:eastAsia="et-EE"/>
        </w:rPr>
        <w:t xml:space="preserve"> / müokardiinfarkt</w:t>
      </w:r>
    </w:p>
    <w:p w14:paraId="63CFA979" w14:textId="77777777" w:rsidR="00FD4CEC" w:rsidRPr="00F21122" w:rsidRDefault="00FD4CEC" w:rsidP="00FD4CEC">
      <w:pPr>
        <w:pStyle w:val="ListParagraph"/>
        <w:spacing w:before="100" w:beforeAutospacing="1" w:after="100" w:afterAutospacing="1" w:line="336" w:lineRule="auto"/>
        <w:ind w:left="708"/>
        <w:rPr>
          <w:rFonts w:eastAsia="Times New Roman" w:cs="Arial"/>
          <w:color w:val="2B3244"/>
          <w:lang w:eastAsia="et-EE"/>
        </w:rPr>
      </w:pPr>
      <w:proofErr w:type="spellStart"/>
      <w:r w:rsidRPr="00F21122">
        <w:rPr>
          <w:rFonts w:eastAsia="Times New Roman" w:cs="Arial"/>
          <w:color w:val="2B3244"/>
          <w:lang w:eastAsia="et-EE"/>
        </w:rPr>
        <w:t>Dabigatraan</w:t>
      </w:r>
      <w:proofErr w:type="spellEnd"/>
      <w:r w:rsidRPr="00F21122">
        <w:rPr>
          <w:rFonts w:eastAsia="Times New Roman" w:cs="Arial"/>
          <w:color w:val="2B3244"/>
          <w:lang w:eastAsia="et-EE"/>
        </w:rPr>
        <w:t xml:space="preserve"> / kopsupõletik</w:t>
      </w:r>
    </w:p>
    <w:p w14:paraId="036D9B24" w14:textId="77777777"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Totsilizumab</w:t>
      </w:r>
      <w:proofErr w:type="spellEnd"/>
      <w:r w:rsidRPr="008932F0">
        <w:rPr>
          <w:rFonts w:eastAsia="Times New Roman" w:cs="Arial"/>
          <w:b/>
          <w:sz w:val="20"/>
          <w:szCs w:val="20"/>
          <w:highlight w:val="yellow"/>
          <w:lang w:eastAsia="et-EE"/>
        </w:rPr>
        <w:t xml:space="preserve"> / juuste ning ripsmete väljalangemine</w:t>
      </w:r>
    </w:p>
    <w:p w14:paraId="1EE563CF"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18-aastasel naispatsiendil tekkis </w:t>
      </w:r>
      <w:proofErr w:type="spellStart"/>
      <w:r w:rsidRPr="008932F0">
        <w:rPr>
          <w:rFonts w:eastAsia="Times New Roman" w:cs="Arial"/>
          <w:sz w:val="20"/>
          <w:szCs w:val="20"/>
          <w:highlight w:val="yellow"/>
          <w:lang w:eastAsia="et-EE"/>
        </w:rPr>
        <w:t>spondüloartriidi</w:t>
      </w:r>
      <w:proofErr w:type="spellEnd"/>
      <w:r w:rsidRPr="008932F0">
        <w:rPr>
          <w:rFonts w:eastAsia="Times New Roman" w:cs="Arial"/>
          <w:sz w:val="20"/>
          <w:szCs w:val="20"/>
          <w:highlight w:val="yellow"/>
          <w:lang w:eastAsia="et-EE"/>
        </w:rPr>
        <w:t xml:space="preserve"> ravi ajal </w:t>
      </w:r>
      <w:proofErr w:type="spellStart"/>
      <w:r w:rsidRPr="008932F0">
        <w:rPr>
          <w:rFonts w:eastAsia="Times New Roman" w:cs="Arial"/>
          <w:sz w:val="20"/>
          <w:szCs w:val="20"/>
          <w:highlight w:val="yellow"/>
          <w:lang w:eastAsia="et-EE"/>
        </w:rPr>
        <w:t>totsilizumabi</w:t>
      </w:r>
      <w:proofErr w:type="spellEnd"/>
      <w:r w:rsidRPr="008932F0">
        <w:rPr>
          <w:rFonts w:eastAsia="Times New Roman" w:cs="Arial"/>
          <w:sz w:val="20"/>
          <w:szCs w:val="20"/>
          <w:highlight w:val="yellow"/>
          <w:lang w:eastAsia="et-EE"/>
        </w:rPr>
        <w:t xml:space="preserve"> üle 1-aastase kasutamise järel  juuste ja ripsmete väljalangemine. Anamneesis olid </w:t>
      </w:r>
      <w:proofErr w:type="spellStart"/>
      <w:r w:rsidRPr="008932F0">
        <w:rPr>
          <w:rFonts w:eastAsia="Times New Roman" w:cs="Arial"/>
          <w:sz w:val="20"/>
          <w:szCs w:val="20"/>
          <w:highlight w:val="yellow"/>
          <w:lang w:eastAsia="et-EE"/>
        </w:rPr>
        <w:t>spondüloartriit</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gastroduodeniit</w:t>
      </w:r>
      <w:proofErr w:type="spellEnd"/>
      <w:r w:rsidRPr="008932F0">
        <w:rPr>
          <w:rFonts w:eastAsia="Times New Roman" w:cs="Arial"/>
          <w:sz w:val="20"/>
          <w:szCs w:val="20"/>
          <w:highlight w:val="yellow"/>
          <w:lang w:eastAsia="et-EE"/>
        </w:rPr>
        <w:t xml:space="preserve"> ja allergiline </w:t>
      </w:r>
      <w:proofErr w:type="spellStart"/>
      <w:r w:rsidRPr="008932F0">
        <w:rPr>
          <w:rFonts w:eastAsia="Times New Roman" w:cs="Arial"/>
          <w:sz w:val="20"/>
          <w:szCs w:val="20"/>
          <w:highlight w:val="yellow"/>
          <w:lang w:eastAsia="et-EE"/>
        </w:rPr>
        <w:t>riniit</w:t>
      </w:r>
      <w:proofErr w:type="spellEnd"/>
      <w:r w:rsidRPr="008932F0">
        <w:rPr>
          <w:rFonts w:eastAsia="Times New Roman" w:cs="Arial"/>
          <w:sz w:val="20"/>
          <w:szCs w:val="20"/>
          <w:highlight w:val="yellow"/>
          <w:lang w:eastAsia="et-EE"/>
        </w:rPr>
        <w:t xml:space="preserve">. Paranemise, kõrvaltoime ravi ning </w:t>
      </w:r>
      <w:proofErr w:type="spellStart"/>
      <w:r w:rsidRPr="008932F0">
        <w:rPr>
          <w:rFonts w:eastAsia="Times New Roman" w:cs="Arial"/>
          <w:sz w:val="20"/>
          <w:szCs w:val="20"/>
          <w:highlight w:val="yellow"/>
          <w:lang w:eastAsia="et-EE"/>
        </w:rPr>
        <w:t>totsilizumabi</w:t>
      </w:r>
      <w:proofErr w:type="spellEnd"/>
      <w:r w:rsidRPr="008932F0">
        <w:rPr>
          <w:rFonts w:eastAsia="Times New Roman" w:cs="Arial"/>
          <w:sz w:val="20"/>
          <w:szCs w:val="20"/>
          <w:highlight w:val="yellow"/>
          <w:lang w:eastAsia="et-EE"/>
        </w:rPr>
        <w:t xml:space="preserve"> jätkamise kohta teave puudub. Kõrvaltoimed on seniteadmata, seos võimalik (ei saa välistada), seose hindamiseks on andmeid vähe.</w:t>
      </w:r>
    </w:p>
    <w:p w14:paraId="6132CAB9" w14:textId="5D55D410"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Rosuvastatiin</w:t>
      </w:r>
      <w:proofErr w:type="spellEnd"/>
      <w:r w:rsidRPr="008932F0">
        <w:rPr>
          <w:rFonts w:eastAsia="Times New Roman" w:cs="Arial"/>
          <w:b/>
          <w:sz w:val="20"/>
          <w:szCs w:val="20"/>
          <w:highlight w:val="yellow"/>
          <w:lang w:eastAsia="et-EE"/>
        </w:rPr>
        <w:t xml:space="preserve"> </w:t>
      </w:r>
      <w:r>
        <w:rPr>
          <w:rFonts w:eastAsia="Times New Roman" w:cs="Arial"/>
          <w:b/>
          <w:sz w:val="20"/>
          <w:szCs w:val="20"/>
          <w:highlight w:val="yellow"/>
          <w:lang w:eastAsia="et-EE"/>
        </w:rPr>
        <w:t>/</w:t>
      </w:r>
      <w:r w:rsidRPr="008932F0">
        <w:rPr>
          <w:rFonts w:eastAsia="Times New Roman" w:cs="Arial"/>
          <w:b/>
          <w:sz w:val="20"/>
          <w:szCs w:val="20"/>
          <w:highlight w:val="yellow"/>
          <w:lang w:eastAsia="et-EE"/>
        </w:rPr>
        <w:t xml:space="preserve"> bronhiaalastma</w:t>
      </w:r>
    </w:p>
    <w:p w14:paraId="749802D4"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78-aastane naispatsient alustas </w:t>
      </w:r>
      <w:proofErr w:type="spellStart"/>
      <w:r w:rsidRPr="008932F0">
        <w:rPr>
          <w:rFonts w:eastAsia="Times New Roman" w:cs="Arial"/>
          <w:sz w:val="20"/>
          <w:szCs w:val="20"/>
          <w:highlight w:val="yellow"/>
          <w:lang w:eastAsia="et-EE"/>
        </w:rPr>
        <w:t>hüperkolesteroleemia</w:t>
      </w:r>
      <w:proofErr w:type="spellEnd"/>
      <w:r w:rsidRPr="008932F0">
        <w:rPr>
          <w:rFonts w:eastAsia="Times New Roman" w:cs="Arial"/>
          <w:sz w:val="20"/>
          <w:szCs w:val="20"/>
          <w:highlight w:val="yellow"/>
          <w:lang w:eastAsia="et-EE"/>
        </w:rPr>
        <w:t xml:space="preserve"> ravi </w:t>
      </w:r>
      <w:proofErr w:type="spellStart"/>
      <w:r w:rsidRPr="008932F0">
        <w:rPr>
          <w:rFonts w:eastAsia="Times New Roman" w:cs="Arial"/>
          <w:sz w:val="20"/>
          <w:szCs w:val="20"/>
          <w:highlight w:val="yellow"/>
          <w:lang w:eastAsia="et-EE"/>
        </w:rPr>
        <w:t>rosuvastatiiniga</w:t>
      </w:r>
      <w:proofErr w:type="spellEnd"/>
      <w:r w:rsidRPr="008932F0">
        <w:rPr>
          <w:rFonts w:eastAsia="Times New Roman" w:cs="Arial"/>
          <w:sz w:val="20"/>
          <w:szCs w:val="20"/>
          <w:highlight w:val="yellow"/>
          <w:lang w:eastAsia="et-EE"/>
        </w:rPr>
        <w:t xml:space="preserve">. Kaasuvate ravimitena kasutas </w:t>
      </w:r>
      <w:proofErr w:type="spellStart"/>
      <w:r w:rsidRPr="008932F0">
        <w:rPr>
          <w:rFonts w:eastAsia="Times New Roman" w:cs="Arial"/>
          <w:sz w:val="20"/>
          <w:szCs w:val="20"/>
          <w:highlight w:val="yellow"/>
          <w:lang w:eastAsia="et-EE"/>
        </w:rPr>
        <w:t>olmesartaani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amlodipiini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bisoprolooli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atsetüülsalitsüülhapet</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omeprasooli</w:t>
      </w:r>
      <w:proofErr w:type="spellEnd"/>
      <w:r w:rsidRPr="008932F0">
        <w:rPr>
          <w:rFonts w:eastAsia="Times New Roman" w:cs="Arial"/>
          <w:sz w:val="20"/>
          <w:szCs w:val="20"/>
          <w:highlight w:val="yellow"/>
          <w:lang w:eastAsia="et-EE"/>
        </w:rPr>
        <w:t xml:space="preserve">. 12 tundi pärast ravi alustamist </w:t>
      </w:r>
      <w:proofErr w:type="spellStart"/>
      <w:r w:rsidRPr="008932F0">
        <w:rPr>
          <w:rFonts w:eastAsia="Times New Roman" w:cs="Arial"/>
          <w:sz w:val="20"/>
          <w:szCs w:val="20"/>
          <w:highlight w:val="yellow"/>
          <w:lang w:eastAsia="et-EE"/>
        </w:rPr>
        <w:t>rosuvastatiiniga</w:t>
      </w:r>
      <w:proofErr w:type="spellEnd"/>
      <w:r w:rsidRPr="008932F0">
        <w:rPr>
          <w:rFonts w:eastAsia="Times New Roman" w:cs="Arial"/>
          <w:sz w:val="20"/>
          <w:szCs w:val="20"/>
          <w:highlight w:val="yellow"/>
          <w:lang w:eastAsia="et-EE"/>
        </w:rPr>
        <w:t xml:space="preserve"> tekkis patsiendil bronhiaalastma hoog, mille tõttu ta vajas ravi erakorralise meditsiini osakonnas. Tõenäoliselt oli tegemist </w:t>
      </w:r>
      <w:proofErr w:type="spellStart"/>
      <w:r w:rsidRPr="008932F0">
        <w:rPr>
          <w:rFonts w:eastAsia="Times New Roman" w:cs="Arial"/>
          <w:sz w:val="20"/>
          <w:szCs w:val="20"/>
          <w:highlight w:val="yellow"/>
          <w:lang w:eastAsia="et-EE"/>
        </w:rPr>
        <w:t>bonhospasmiga</w:t>
      </w:r>
      <w:proofErr w:type="spellEnd"/>
      <w:r w:rsidRPr="008932F0">
        <w:rPr>
          <w:rFonts w:eastAsia="Times New Roman" w:cs="Arial"/>
          <w:sz w:val="20"/>
          <w:szCs w:val="20"/>
          <w:highlight w:val="yellow"/>
          <w:lang w:eastAsia="et-EE"/>
        </w:rPr>
        <w:t xml:space="preserve">. Ravi kahtlustatava ravimiga lõpetati. </w:t>
      </w:r>
      <w:proofErr w:type="spellStart"/>
      <w:r w:rsidRPr="008932F0">
        <w:rPr>
          <w:rFonts w:eastAsia="Times New Roman" w:cs="Arial"/>
          <w:sz w:val="20"/>
          <w:szCs w:val="20"/>
          <w:highlight w:val="yellow"/>
          <w:lang w:eastAsia="et-EE"/>
        </w:rPr>
        <w:t>Bronhiaalastma/bronhospasm</w:t>
      </w:r>
      <w:proofErr w:type="spellEnd"/>
      <w:r w:rsidRPr="008932F0">
        <w:rPr>
          <w:rFonts w:eastAsia="Times New Roman" w:cs="Arial"/>
          <w:sz w:val="20"/>
          <w:szCs w:val="20"/>
          <w:highlight w:val="yellow"/>
          <w:lang w:eastAsia="et-EE"/>
        </w:rPr>
        <w:t xml:space="preserve"> ei ole </w:t>
      </w:r>
      <w:proofErr w:type="spellStart"/>
      <w:r w:rsidRPr="008932F0">
        <w:rPr>
          <w:rFonts w:eastAsia="Times New Roman" w:cs="Arial"/>
          <w:sz w:val="20"/>
          <w:szCs w:val="20"/>
          <w:highlight w:val="yellow"/>
          <w:lang w:eastAsia="et-EE"/>
        </w:rPr>
        <w:t>rosuvastatiini</w:t>
      </w:r>
      <w:proofErr w:type="spellEnd"/>
      <w:r w:rsidRPr="008932F0">
        <w:rPr>
          <w:rFonts w:eastAsia="Times New Roman" w:cs="Arial"/>
          <w:sz w:val="20"/>
          <w:szCs w:val="20"/>
          <w:highlight w:val="yellow"/>
          <w:lang w:eastAsia="et-EE"/>
        </w:rPr>
        <w:t xml:space="preserve"> teadaolev kõrvaltoime. Jääb kahtlus ülitundlikkusreaktsioonile, mis on teadaolev kõrvaltoime.   </w:t>
      </w:r>
    </w:p>
    <w:p w14:paraId="06B1873D" w14:textId="36C3E5CB"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Ibrutiniib</w:t>
      </w:r>
      <w:proofErr w:type="spellEnd"/>
      <w:r w:rsidRPr="008932F0">
        <w:rPr>
          <w:rFonts w:eastAsia="Times New Roman" w:cs="Arial"/>
          <w:b/>
          <w:sz w:val="20"/>
          <w:szCs w:val="20"/>
          <w:highlight w:val="yellow"/>
          <w:lang w:eastAsia="et-EE"/>
        </w:rPr>
        <w:t xml:space="preserve"> </w:t>
      </w:r>
      <w:r>
        <w:rPr>
          <w:rFonts w:eastAsia="Times New Roman" w:cs="Arial"/>
          <w:b/>
          <w:sz w:val="20"/>
          <w:szCs w:val="20"/>
          <w:highlight w:val="yellow"/>
          <w:lang w:eastAsia="et-EE"/>
        </w:rPr>
        <w:t>/</w:t>
      </w:r>
      <w:r w:rsidRPr="008932F0">
        <w:rPr>
          <w:rFonts w:eastAsia="Times New Roman" w:cs="Arial"/>
          <w:b/>
          <w:sz w:val="20"/>
          <w:szCs w:val="20"/>
          <w:highlight w:val="yellow"/>
          <w:lang w:eastAsia="et-EE"/>
        </w:rPr>
        <w:t xml:space="preserve"> Richteri transformatsioon</w:t>
      </w:r>
    </w:p>
    <w:p w14:paraId="639DEB2D"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lastRenderedPageBreak/>
        <w:t xml:space="preserve">51-aastane patsient sai patsiendiprogrammi käigus kroonilise </w:t>
      </w:r>
      <w:proofErr w:type="spellStart"/>
      <w:r w:rsidRPr="008932F0">
        <w:rPr>
          <w:rFonts w:eastAsia="Times New Roman" w:cs="Arial"/>
          <w:sz w:val="20"/>
          <w:szCs w:val="20"/>
          <w:highlight w:val="yellow"/>
          <w:lang w:eastAsia="et-EE"/>
        </w:rPr>
        <w:t>lümfoidse</w:t>
      </w:r>
      <w:proofErr w:type="spellEnd"/>
      <w:r w:rsidRPr="008932F0">
        <w:rPr>
          <w:rFonts w:eastAsia="Times New Roman" w:cs="Arial"/>
          <w:sz w:val="20"/>
          <w:szCs w:val="20"/>
          <w:highlight w:val="yellow"/>
          <w:lang w:eastAsia="et-EE"/>
        </w:rPr>
        <w:t xml:space="preserve"> leukeemia (KLL) raviks </w:t>
      </w:r>
      <w:proofErr w:type="spellStart"/>
      <w:r w:rsidRPr="008932F0">
        <w:rPr>
          <w:rFonts w:eastAsia="Times New Roman" w:cs="Arial"/>
          <w:sz w:val="20"/>
          <w:szCs w:val="20"/>
          <w:highlight w:val="yellow"/>
          <w:lang w:eastAsia="et-EE"/>
        </w:rPr>
        <w:t>ibrutiniibi</w:t>
      </w:r>
      <w:proofErr w:type="spellEnd"/>
      <w:r w:rsidRPr="008932F0">
        <w:rPr>
          <w:rFonts w:eastAsia="Times New Roman" w:cs="Arial"/>
          <w:sz w:val="20"/>
          <w:szCs w:val="20"/>
          <w:highlight w:val="yellow"/>
          <w:lang w:eastAsia="et-EE"/>
        </w:rPr>
        <w:t xml:space="preserve">. Patsiendil ei olnud saavutatud head ravivastust teistele ravimitele, esines väga kõrge </w:t>
      </w:r>
      <w:proofErr w:type="spellStart"/>
      <w:r w:rsidRPr="008932F0">
        <w:rPr>
          <w:rFonts w:eastAsia="Times New Roman" w:cs="Arial"/>
          <w:sz w:val="20"/>
          <w:szCs w:val="20"/>
          <w:highlight w:val="yellow"/>
          <w:lang w:eastAsia="et-EE"/>
        </w:rPr>
        <w:t>lümfotsüütide</w:t>
      </w:r>
      <w:proofErr w:type="spellEnd"/>
      <w:r w:rsidRPr="008932F0">
        <w:rPr>
          <w:rFonts w:eastAsia="Times New Roman" w:cs="Arial"/>
          <w:sz w:val="20"/>
          <w:szCs w:val="20"/>
          <w:highlight w:val="yellow"/>
          <w:lang w:eastAsia="et-EE"/>
        </w:rPr>
        <w:t xml:space="preserve"> arv (150 000/mcl), raskekujuline </w:t>
      </w:r>
      <w:proofErr w:type="spellStart"/>
      <w:r w:rsidRPr="008932F0">
        <w:rPr>
          <w:rFonts w:eastAsia="Times New Roman" w:cs="Arial"/>
          <w:sz w:val="20"/>
          <w:szCs w:val="20"/>
          <w:highlight w:val="yellow"/>
          <w:lang w:eastAsia="et-EE"/>
        </w:rPr>
        <w:t>organomegaalia</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trombotsütopeenia</w:t>
      </w:r>
      <w:proofErr w:type="spellEnd"/>
      <w:r w:rsidRPr="008932F0">
        <w:rPr>
          <w:rFonts w:eastAsia="Times New Roman" w:cs="Arial"/>
          <w:sz w:val="20"/>
          <w:szCs w:val="20"/>
          <w:highlight w:val="yellow"/>
          <w:lang w:eastAsia="et-EE"/>
        </w:rPr>
        <w:t xml:space="preserve"> ja ta vajas vereülekandeid aneemia tõttu. Patsient reageeris ravile </w:t>
      </w:r>
      <w:proofErr w:type="spellStart"/>
      <w:r w:rsidRPr="008932F0">
        <w:rPr>
          <w:rFonts w:eastAsia="Times New Roman" w:cs="Arial"/>
          <w:sz w:val="20"/>
          <w:szCs w:val="20"/>
          <w:highlight w:val="yellow"/>
          <w:lang w:eastAsia="et-EE"/>
        </w:rPr>
        <w:t>ibrutiniibiga</w:t>
      </w:r>
      <w:proofErr w:type="spellEnd"/>
      <w:r w:rsidRPr="008932F0">
        <w:rPr>
          <w:rFonts w:eastAsia="Times New Roman" w:cs="Arial"/>
          <w:sz w:val="20"/>
          <w:szCs w:val="20"/>
          <w:highlight w:val="yellow"/>
          <w:lang w:eastAsia="et-EE"/>
        </w:rPr>
        <w:t xml:space="preserve"> hästi (</w:t>
      </w:r>
      <w:proofErr w:type="spellStart"/>
      <w:r w:rsidRPr="008932F0">
        <w:rPr>
          <w:rFonts w:eastAsia="Times New Roman" w:cs="Arial"/>
          <w:sz w:val="20"/>
          <w:szCs w:val="20"/>
          <w:highlight w:val="yellow"/>
          <w:lang w:eastAsia="et-EE"/>
        </w:rPr>
        <w:t>lümfotsüütide</w:t>
      </w:r>
      <w:proofErr w:type="spellEnd"/>
      <w:r w:rsidRPr="008932F0">
        <w:rPr>
          <w:rFonts w:eastAsia="Times New Roman" w:cs="Arial"/>
          <w:sz w:val="20"/>
          <w:szCs w:val="20"/>
          <w:highlight w:val="yellow"/>
          <w:lang w:eastAsia="et-EE"/>
        </w:rPr>
        <w:t xml:space="preserve"> arv ei suurenenud oluliselt ravi algul ja vähenes kuni 14000/mcl; aneemia ja </w:t>
      </w:r>
      <w:proofErr w:type="spellStart"/>
      <w:r w:rsidRPr="008932F0">
        <w:rPr>
          <w:rFonts w:eastAsia="Times New Roman" w:cs="Arial"/>
          <w:sz w:val="20"/>
          <w:szCs w:val="20"/>
          <w:highlight w:val="yellow"/>
          <w:lang w:eastAsia="et-EE"/>
        </w:rPr>
        <w:t>trombotsütopeenia</w:t>
      </w:r>
      <w:proofErr w:type="spellEnd"/>
      <w:r w:rsidRPr="008932F0">
        <w:rPr>
          <w:rFonts w:eastAsia="Times New Roman" w:cs="Arial"/>
          <w:sz w:val="20"/>
          <w:szCs w:val="20"/>
          <w:highlight w:val="yellow"/>
          <w:lang w:eastAsia="et-EE"/>
        </w:rPr>
        <w:t xml:space="preserve"> vähenesid ning patsient ei vajanud täiendavalt vereülekandeid; ka </w:t>
      </w:r>
      <w:proofErr w:type="spellStart"/>
      <w:r w:rsidRPr="008932F0">
        <w:rPr>
          <w:rFonts w:eastAsia="Times New Roman" w:cs="Arial"/>
          <w:sz w:val="20"/>
          <w:szCs w:val="20"/>
          <w:highlight w:val="yellow"/>
          <w:lang w:eastAsia="et-EE"/>
        </w:rPr>
        <w:t>organomegaalia</w:t>
      </w:r>
      <w:proofErr w:type="spellEnd"/>
      <w:r w:rsidRPr="008932F0">
        <w:rPr>
          <w:rFonts w:eastAsia="Times New Roman" w:cs="Arial"/>
          <w:sz w:val="20"/>
          <w:szCs w:val="20"/>
          <w:highlight w:val="yellow"/>
          <w:lang w:eastAsia="et-EE"/>
        </w:rPr>
        <w:t xml:space="preserve"> vähenes, välja arvatud </w:t>
      </w:r>
      <w:proofErr w:type="spellStart"/>
      <w:r w:rsidRPr="008932F0">
        <w:rPr>
          <w:rFonts w:eastAsia="Times New Roman" w:cs="Arial"/>
          <w:sz w:val="20"/>
          <w:szCs w:val="20"/>
          <w:highlight w:val="yellow"/>
          <w:lang w:eastAsia="et-EE"/>
        </w:rPr>
        <w:t>splenomegaalia</w:t>
      </w:r>
      <w:proofErr w:type="spellEnd"/>
      <w:r w:rsidRPr="008932F0">
        <w:rPr>
          <w:rFonts w:eastAsia="Times New Roman" w:cs="Arial"/>
          <w:sz w:val="20"/>
          <w:szCs w:val="20"/>
          <w:highlight w:val="yellow"/>
          <w:lang w:eastAsia="et-EE"/>
        </w:rPr>
        <w:t xml:space="preserve">). Täpsustamata ajal tekkis patsiendil tuumori lüüsi sündroom ja hiljem Richteri transformatsioon, mille tõttu patsient suri. Richteri transformatsioon ei ole loetletud </w:t>
      </w:r>
      <w:proofErr w:type="spellStart"/>
      <w:r w:rsidRPr="008932F0">
        <w:rPr>
          <w:rFonts w:eastAsia="Times New Roman" w:cs="Arial"/>
          <w:sz w:val="20"/>
          <w:szCs w:val="20"/>
          <w:highlight w:val="yellow"/>
          <w:lang w:eastAsia="et-EE"/>
        </w:rPr>
        <w:t>ibrutiniibi</w:t>
      </w:r>
      <w:proofErr w:type="spellEnd"/>
      <w:r w:rsidRPr="008932F0">
        <w:rPr>
          <w:rFonts w:eastAsia="Times New Roman" w:cs="Arial"/>
          <w:sz w:val="20"/>
          <w:szCs w:val="20"/>
          <w:highlight w:val="yellow"/>
          <w:lang w:eastAsia="et-EE"/>
        </w:rPr>
        <w:t xml:space="preserve"> kõrvaltoimena, küll võib esineda haiguse muutumist agressiivsemaks kasvajaks.   </w:t>
      </w:r>
    </w:p>
    <w:p w14:paraId="3C540A25" w14:textId="79DBBA8E"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Ulipristaal</w:t>
      </w:r>
      <w:proofErr w:type="spellEnd"/>
      <w:r w:rsidRPr="008932F0">
        <w:rPr>
          <w:rFonts w:eastAsia="Times New Roman" w:cs="Arial"/>
          <w:b/>
          <w:sz w:val="20"/>
          <w:szCs w:val="20"/>
          <w:highlight w:val="yellow"/>
          <w:lang w:eastAsia="et-EE"/>
        </w:rPr>
        <w:t xml:space="preserve"> </w:t>
      </w:r>
      <w:r>
        <w:rPr>
          <w:rFonts w:eastAsia="Times New Roman" w:cs="Arial"/>
          <w:b/>
          <w:sz w:val="20"/>
          <w:szCs w:val="20"/>
          <w:highlight w:val="yellow"/>
          <w:lang w:eastAsia="et-EE"/>
        </w:rPr>
        <w:t>/</w:t>
      </w:r>
      <w:r w:rsidRPr="008932F0">
        <w:rPr>
          <w:rFonts w:eastAsia="Times New Roman" w:cs="Arial"/>
          <w:b/>
          <w:sz w:val="20"/>
          <w:szCs w:val="20"/>
          <w:highlight w:val="yellow"/>
          <w:lang w:eastAsia="et-EE"/>
        </w:rPr>
        <w:t xml:space="preserve"> </w:t>
      </w:r>
      <w:proofErr w:type="spellStart"/>
      <w:r w:rsidRPr="008932F0">
        <w:rPr>
          <w:rFonts w:eastAsia="Times New Roman" w:cs="Arial"/>
          <w:b/>
          <w:sz w:val="20"/>
          <w:szCs w:val="20"/>
          <w:highlight w:val="yellow"/>
          <w:lang w:eastAsia="et-EE"/>
        </w:rPr>
        <w:t>subkutaansed</w:t>
      </w:r>
      <w:proofErr w:type="spellEnd"/>
      <w:r w:rsidRPr="008932F0">
        <w:rPr>
          <w:rFonts w:eastAsia="Times New Roman" w:cs="Arial"/>
          <w:b/>
          <w:sz w:val="20"/>
          <w:szCs w:val="20"/>
          <w:highlight w:val="yellow"/>
          <w:lang w:eastAsia="et-EE"/>
        </w:rPr>
        <w:t xml:space="preserve"> abstsessid</w:t>
      </w:r>
    </w:p>
    <w:p w14:paraId="7F15FD63"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31-aastane naispatsient sai emakamüoomi tõttu </w:t>
      </w:r>
      <w:proofErr w:type="spellStart"/>
      <w:r w:rsidRPr="008932F0">
        <w:rPr>
          <w:rFonts w:eastAsia="Times New Roman" w:cs="Arial"/>
          <w:sz w:val="20"/>
          <w:szCs w:val="20"/>
          <w:highlight w:val="yellow"/>
          <w:lang w:eastAsia="et-EE"/>
        </w:rPr>
        <w:t>ulipristaali</w:t>
      </w:r>
      <w:proofErr w:type="spellEnd"/>
      <w:r w:rsidRPr="008932F0">
        <w:rPr>
          <w:rFonts w:eastAsia="Times New Roman" w:cs="Arial"/>
          <w:sz w:val="20"/>
          <w:szCs w:val="20"/>
          <w:highlight w:val="yellow"/>
          <w:lang w:eastAsia="et-EE"/>
        </w:rPr>
        <w:t xml:space="preserve">. Ravi ajal tekkisid patsiendil abstsessid jäsemetel, seljal ja tuharatel; kogu keha sügelus ja akne näol. Kõrvaltoimed möödusid ravi lõpetamisel, abstsessid vajasid süsteemset ja lokaalset antibiootikumravi. </w:t>
      </w:r>
      <w:proofErr w:type="spellStart"/>
      <w:r w:rsidRPr="008932F0">
        <w:rPr>
          <w:rFonts w:eastAsia="Times New Roman" w:cs="Arial"/>
          <w:sz w:val="20"/>
          <w:szCs w:val="20"/>
          <w:highlight w:val="yellow"/>
          <w:lang w:eastAsia="et-EE"/>
        </w:rPr>
        <w:t>Subkutaansed</w:t>
      </w:r>
      <w:proofErr w:type="spellEnd"/>
      <w:r w:rsidRPr="008932F0">
        <w:rPr>
          <w:rFonts w:eastAsia="Times New Roman" w:cs="Arial"/>
          <w:sz w:val="20"/>
          <w:szCs w:val="20"/>
          <w:highlight w:val="yellow"/>
          <w:lang w:eastAsia="et-EE"/>
        </w:rPr>
        <w:t xml:space="preserve"> abstsessid on hinnatud tõsisteks, seniteadmata kõrvaltoimeteks. </w:t>
      </w:r>
    </w:p>
    <w:p w14:paraId="09A6B7E7" w14:textId="212B9B65"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Desmopressiin</w:t>
      </w:r>
      <w:proofErr w:type="spellEnd"/>
      <w:r w:rsidRPr="008932F0">
        <w:rPr>
          <w:rFonts w:eastAsia="Times New Roman" w:cs="Arial"/>
          <w:b/>
          <w:sz w:val="20"/>
          <w:szCs w:val="20"/>
          <w:highlight w:val="yellow"/>
          <w:lang w:eastAsia="et-EE"/>
        </w:rPr>
        <w:t xml:space="preserve"> </w:t>
      </w:r>
      <w:r>
        <w:rPr>
          <w:rFonts w:eastAsia="Times New Roman" w:cs="Arial"/>
          <w:b/>
          <w:sz w:val="20"/>
          <w:szCs w:val="20"/>
          <w:highlight w:val="yellow"/>
          <w:lang w:eastAsia="et-EE"/>
        </w:rPr>
        <w:t>/</w:t>
      </w:r>
      <w:r w:rsidRPr="008932F0">
        <w:rPr>
          <w:rFonts w:eastAsia="Times New Roman" w:cs="Arial"/>
          <w:b/>
          <w:sz w:val="20"/>
          <w:szCs w:val="20"/>
          <w:highlight w:val="yellow"/>
          <w:lang w:eastAsia="et-EE"/>
        </w:rPr>
        <w:t xml:space="preserve"> müokardiinfarkt</w:t>
      </w:r>
    </w:p>
    <w:p w14:paraId="5BE9D2D6"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80-aastane naispatsient hospitaliseeriti parema põlveliigese plaaniliseks </w:t>
      </w:r>
      <w:proofErr w:type="spellStart"/>
      <w:r w:rsidRPr="008932F0">
        <w:rPr>
          <w:rFonts w:eastAsia="Times New Roman" w:cs="Arial"/>
          <w:sz w:val="20"/>
          <w:szCs w:val="20"/>
          <w:highlight w:val="yellow"/>
          <w:lang w:eastAsia="et-EE"/>
        </w:rPr>
        <w:t>endoproteesimiseks</w:t>
      </w:r>
      <w:proofErr w:type="spellEnd"/>
      <w:r w:rsidRPr="008932F0">
        <w:rPr>
          <w:rFonts w:eastAsia="Times New Roman" w:cs="Arial"/>
          <w:sz w:val="20"/>
          <w:szCs w:val="20"/>
          <w:highlight w:val="yellow"/>
          <w:lang w:eastAsia="et-EE"/>
        </w:rPr>
        <w:t xml:space="preserve">. Analüüsides oli </w:t>
      </w:r>
      <w:proofErr w:type="spellStart"/>
      <w:r w:rsidRPr="008932F0">
        <w:rPr>
          <w:rFonts w:eastAsia="Times New Roman" w:cs="Arial"/>
          <w:sz w:val="20"/>
          <w:szCs w:val="20"/>
          <w:highlight w:val="yellow"/>
          <w:lang w:eastAsia="et-EE"/>
        </w:rPr>
        <w:t>trombotsüütide</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agregatsiooninäitaja</w:t>
      </w:r>
      <w:proofErr w:type="spellEnd"/>
      <w:r w:rsidRPr="008932F0">
        <w:rPr>
          <w:rFonts w:eastAsia="Times New Roman" w:cs="Arial"/>
          <w:sz w:val="20"/>
          <w:szCs w:val="20"/>
          <w:highlight w:val="yellow"/>
          <w:lang w:eastAsia="et-EE"/>
        </w:rPr>
        <w:t xml:space="preserve"> langenud, seetõttu ordineeriti patsiendile </w:t>
      </w:r>
      <w:proofErr w:type="spellStart"/>
      <w:r w:rsidRPr="008932F0">
        <w:rPr>
          <w:rFonts w:eastAsia="Times New Roman" w:cs="Arial"/>
          <w:sz w:val="20"/>
          <w:szCs w:val="20"/>
          <w:highlight w:val="yellow"/>
          <w:lang w:eastAsia="et-EE"/>
        </w:rPr>
        <w:t>desmpopressiini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Desmopressiini</w:t>
      </w:r>
      <w:proofErr w:type="spellEnd"/>
      <w:r w:rsidRPr="008932F0">
        <w:rPr>
          <w:rFonts w:eastAsia="Times New Roman" w:cs="Arial"/>
          <w:sz w:val="20"/>
          <w:szCs w:val="20"/>
          <w:highlight w:val="yellow"/>
          <w:lang w:eastAsia="et-EE"/>
        </w:rPr>
        <w:t xml:space="preserve"> infusiooni järgselt tekkis patsiendil äkki halb enesetunne, nõrkus, kahvatus, higistamine, vererõhu langus (süstoolne rõhk 50 </w:t>
      </w:r>
      <w:proofErr w:type="spellStart"/>
      <w:r w:rsidRPr="008932F0">
        <w:rPr>
          <w:rFonts w:eastAsia="Times New Roman" w:cs="Arial"/>
          <w:sz w:val="20"/>
          <w:szCs w:val="20"/>
          <w:highlight w:val="yellow"/>
          <w:lang w:eastAsia="et-EE"/>
        </w:rPr>
        <w:t>mmHg</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Elektrokardiogrammi</w:t>
      </w:r>
      <w:proofErr w:type="spellEnd"/>
      <w:r w:rsidRPr="008932F0">
        <w:rPr>
          <w:rFonts w:eastAsia="Times New Roman" w:cs="Arial"/>
          <w:sz w:val="20"/>
          <w:szCs w:val="20"/>
          <w:highlight w:val="yellow"/>
          <w:lang w:eastAsia="et-EE"/>
        </w:rPr>
        <w:t xml:space="preserve"> leid viitas ST </w:t>
      </w:r>
      <w:proofErr w:type="spellStart"/>
      <w:r w:rsidRPr="008932F0">
        <w:rPr>
          <w:rFonts w:eastAsia="Times New Roman" w:cs="Arial"/>
          <w:sz w:val="20"/>
          <w:szCs w:val="20"/>
          <w:highlight w:val="yellow"/>
          <w:lang w:eastAsia="et-EE"/>
        </w:rPr>
        <w:t>elevatsiooniga</w:t>
      </w:r>
      <w:proofErr w:type="spellEnd"/>
      <w:r w:rsidRPr="008932F0">
        <w:rPr>
          <w:rFonts w:eastAsia="Times New Roman" w:cs="Arial"/>
          <w:sz w:val="20"/>
          <w:szCs w:val="20"/>
          <w:highlight w:val="yellow"/>
          <w:lang w:eastAsia="et-EE"/>
        </w:rPr>
        <w:t xml:space="preserve"> müokardiinfarktile. Kõrvaltoime tõttu tehti patsiendile infusioone, </w:t>
      </w:r>
      <w:proofErr w:type="spellStart"/>
      <w:r w:rsidRPr="008932F0">
        <w:rPr>
          <w:rFonts w:eastAsia="Times New Roman" w:cs="Arial"/>
          <w:sz w:val="20"/>
          <w:szCs w:val="20"/>
          <w:highlight w:val="yellow"/>
          <w:lang w:eastAsia="et-EE"/>
        </w:rPr>
        <w:t>hepariinravi</w:t>
      </w:r>
      <w:proofErr w:type="spellEnd"/>
      <w:r w:rsidRPr="008932F0">
        <w:rPr>
          <w:rFonts w:eastAsia="Times New Roman" w:cs="Arial"/>
          <w:sz w:val="20"/>
          <w:szCs w:val="20"/>
          <w:highlight w:val="yellow"/>
          <w:lang w:eastAsia="et-EE"/>
        </w:rPr>
        <w:t xml:space="preserve">, morfiini, hapnikravi. </w:t>
      </w:r>
      <w:proofErr w:type="spellStart"/>
      <w:r w:rsidRPr="008932F0">
        <w:rPr>
          <w:rFonts w:eastAsia="Times New Roman" w:cs="Arial"/>
          <w:sz w:val="20"/>
          <w:szCs w:val="20"/>
          <w:highlight w:val="yellow"/>
          <w:lang w:eastAsia="et-EE"/>
        </w:rPr>
        <w:t>Perkutaansel</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koronaarinterventsioonil</w:t>
      </w:r>
      <w:proofErr w:type="spellEnd"/>
      <w:r w:rsidRPr="008932F0">
        <w:rPr>
          <w:rFonts w:eastAsia="Times New Roman" w:cs="Arial"/>
          <w:sz w:val="20"/>
          <w:szCs w:val="20"/>
          <w:highlight w:val="yellow"/>
          <w:lang w:eastAsia="et-EE"/>
        </w:rPr>
        <w:t xml:space="preserve"> leiti </w:t>
      </w:r>
      <w:proofErr w:type="spellStart"/>
      <w:r w:rsidRPr="008932F0">
        <w:rPr>
          <w:rFonts w:eastAsia="Times New Roman" w:cs="Arial"/>
          <w:sz w:val="20"/>
          <w:szCs w:val="20"/>
          <w:highlight w:val="yellow"/>
          <w:lang w:eastAsia="et-EE"/>
        </w:rPr>
        <w:t>okluseeriv</w:t>
      </w:r>
      <w:proofErr w:type="spellEnd"/>
      <w:r w:rsidRPr="008932F0">
        <w:rPr>
          <w:rFonts w:eastAsia="Times New Roman" w:cs="Arial"/>
          <w:sz w:val="20"/>
          <w:szCs w:val="20"/>
          <w:highlight w:val="yellow"/>
          <w:lang w:eastAsia="et-EE"/>
        </w:rPr>
        <w:t xml:space="preserve"> tromb vasaku </w:t>
      </w:r>
      <w:proofErr w:type="spellStart"/>
      <w:r w:rsidRPr="008932F0">
        <w:rPr>
          <w:rFonts w:eastAsia="Times New Roman" w:cs="Arial"/>
          <w:sz w:val="20"/>
          <w:szCs w:val="20"/>
          <w:highlight w:val="yellow"/>
          <w:lang w:eastAsia="et-EE"/>
        </w:rPr>
        <w:t>koronaararteri</w:t>
      </w:r>
      <w:proofErr w:type="spellEnd"/>
      <w:r w:rsidRPr="008932F0">
        <w:rPr>
          <w:rFonts w:eastAsia="Times New Roman" w:cs="Arial"/>
          <w:sz w:val="20"/>
          <w:szCs w:val="20"/>
          <w:highlight w:val="yellow"/>
          <w:lang w:eastAsia="et-EE"/>
        </w:rPr>
        <w:t xml:space="preserve"> eesmises vatsakestevahelises harus, mida aspireerida ei õnnestunud. </w:t>
      </w:r>
      <w:proofErr w:type="spellStart"/>
      <w:r w:rsidRPr="008932F0">
        <w:rPr>
          <w:rFonts w:eastAsia="Times New Roman" w:cs="Arial"/>
          <w:sz w:val="20"/>
          <w:szCs w:val="20"/>
          <w:highlight w:val="yellow"/>
          <w:lang w:eastAsia="et-EE"/>
        </w:rPr>
        <w:t>Koronaari</w:t>
      </w:r>
      <w:proofErr w:type="spellEnd"/>
      <w:r w:rsidRPr="008932F0">
        <w:rPr>
          <w:rFonts w:eastAsia="Times New Roman" w:cs="Arial"/>
          <w:sz w:val="20"/>
          <w:szCs w:val="20"/>
          <w:highlight w:val="yellow"/>
          <w:lang w:eastAsia="et-EE"/>
        </w:rPr>
        <w:t xml:space="preserve"> haru stenditi, mille järgselt oli valendik sile ja verevool hea. Kõrvaltoime oli patsiendile eluohtlik ja pikendas haiglaravi; patsient paranes. Seost kahtlustatava ravimiga ei saa välistada, kuigi esines ka teisi riskifaktoreid. </w:t>
      </w:r>
      <w:proofErr w:type="spellStart"/>
      <w:r w:rsidRPr="008932F0">
        <w:rPr>
          <w:rFonts w:eastAsia="Times New Roman" w:cs="Arial"/>
          <w:sz w:val="20"/>
          <w:szCs w:val="20"/>
          <w:highlight w:val="yellow"/>
          <w:lang w:eastAsia="et-EE"/>
        </w:rPr>
        <w:t>Trombotsüütidede</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agregatsiooni</w:t>
      </w:r>
      <w:proofErr w:type="spellEnd"/>
      <w:r w:rsidRPr="008932F0">
        <w:rPr>
          <w:rFonts w:eastAsia="Times New Roman" w:cs="Arial"/>
          <w:sz w:val="20"/>
          <w:szCs w:val="20"/>
          <w:highlight w:val="yellow"/>
          <w:lang w:eastAsia="et-EE"/>
        </w:rPr>
        <w:t xml:space="preserve"> inhibeerimine võis olla seotud lisaks MSPVA raviga. Patsiendil oli anamneesis ka progresseeruv stenokardia (2 päeva enne müokardiinfarkti) ja aordistenoos. Mõlemad diagnoositi pärast juhtumit. Angiograafiliselt esines ühe veresoone kahjustus. Lisaks manustati </w:t>
      </w:r>
      <w:proofErr w:type="spellStart"/>
      <w:r w:rsidRPr="008932F0">
        <w:rPr>
          <w:rFonts w:eastAsia="Times New Roman" w:cs="Arial"/>
          <w:sz w:val="20"/>
          <w:szCs w:val="20"/>
          <w:highlight w:val="yellow"/>
          <w:lang w:eastAsia="et-EE"/>
        </w:rPr>
        <w:t>desmopressiini</w:t>
      </w:r>
      <w:proofErr w:type="spellEnd"/>
      <w:r w:rsidRPr="008932F0">
        <w:rPr>
          <w:rFonts w:eastAsia="Times New Roman" w:cs="Arial"/>
          <w:sz w:val="20"/>
          <w:szCs w:val="20"/>
          <w:highlight w:val="yellow"/>
          <w:lang w:eastAsia="et-EE"/>
        </w:rPr>
        <w:t xml:space="preserve"> ka ettenähtust pisut suuremas annuses.  </w:t>
      </w:r>
      <w:proofErr w:type="spellStart"/>
      <w:r w:rsidRPr="008932F0">
        <w:rPr>
          <w:rFonts w:eastAsia="Times New Roman" w:cs="Arial"/>
          <w:sz w:val="20"/>
          <w:szCs w:val="20"/>
          <w:highlight w:val="yellow"/>
          <w:lang w:eastAsia="et-EE"/>
        </w:rPr>
        <w:t>Desmopressiini</w:t>
      </w:r>
      <w:proofErr w:type="spellEnd"/>
      <w:r w:rsidRPr="008932F0">
        <w:rPr>
          <w:rFonts w:eastAsia="Times New Roman" w:cs="Arial"/>
          <w:sz w:val="20"/>
          <w:szCs w:val="20"/>
          <w:highlight w:val="yellow"/>
          <w:lang w:eastAsia="et-EE"/>
        </w:rPr>
        <w:t xml:space="preserve"> ravimiinfos ei ole müokardiinfarkti kõrvaltoimena välja toodud, kuid </w:t>
      </w:r>
      <w:proofErr w:type="spellStart"/>
      <w:r w:rsidRPr="008932F0">
        <w:rPr>
          <w:rFonts w:eastAsia="Times New Roman" w:cs="Arial"/>
          <w:sz w:val="20"/>
          <w:szCs w:val="20"/>
          <w:highlight w:val="yellow"/>
          <w:lang w:eastAsia="et-EE"/>
        </w:rPr>
        <w:t>transitoorne</w:t>
      </w:r>
      <w:proofErr w:type="spellEnd"/>
      <w:r w:rsidRPr="008932F0">
        <w:rPr>
          <w:rFonts w:eastAsia="Times New Roman" w:cs="Arial"/>
          <w:sz w:val="20"/>
          <w:szCs w:val="20"/>
          <w:highlight w:val="yellow"/>
          <w:lang w:eastAsia="et-EE"/>
        </w:rPr>
        <w:t xml:space="preserve"> vererõhu langus on kirjeldatud. Arvestades </w:t>
      </w:r>
      <w:proofErr w:type="spellStart"/>
      <w:r w:rsidRPr="008932F0">
        <w:rPr>
          <w:rFonts w:eastAsia="Times New Roman" w:cs="Arial"/>
          <w:sz w:val="20"/>
          <w:szCs w:val="20"/>
          <w:highlight w:val="yellow"/>
          <w:lang w:eastAsia="et-EE"/>
        </w:rPr>
        <w:t>desmopressiini</w:t>
      </w:r>
      <w:proofErr w:type="spellEnd"/>
      <w:r w:rsidRPr="008932F0">
        <w:rPr>
          <w:rFonts w:eastAsia="Times New Roman" w:cs="Arial"/>
          <w:sz w:val="20"/>
          <w:szCs w:val="20"/>
          <w:highlight w:val="yellow"/>
          <w:lang w:eastAsia="et-EE"/>
        </w:rPr>
        <w:t xml:space="preserve"> toimet (</w:t>
      </w:r>
      <w:proofErr w:type="spellStart"/>
      <w:r w:rsidRPr="008932F0">
        <w:rPr>
          <w:rFonts w:eastAsia="Times New Roman" w:cs="Arial"/>
          <w:sz w:val="20"/>
          <w:szCs w:val="20"/>
          <w:highlight w:val="yellow"/>
          <w:lang w:eastAsia="et-EE"/>
        </w:rPr>
        <w:t>koagulatiivse</w:t>
      </w:r>
      <w:proofErr w:type="spellEnd"/>
      <w:r w:rsidRPr="008932F0">
        <w:rPr>
          <w:rFonts w:eastAsia="Times New Roman" w:cs="Arial"/>
          <w:sz w:val="20"/>
          <w:szCs w:val="20"/>
          <w:highlight w:val="yellow"/>
          <w:lang w:eastAsia="et-EE"/>
        </w:rPr>
        <w:t xml:space="preserve"> aktiivsuse suurendamine), on seos võimalik. </w:t>
      </w:r>
    </w:p>
    <w:p w14:paraId="344A453E" w14:textId="2C9929E4" w:rsidR="00FD4BF9" w:rsidRPr="008932F0" w:rsidRDefault="00FD4BF9" w:rsidP="00FD4BF9">
      <w:pPr>
        <w:spacing w:before="100" w:beforeAutospacing="1" w:after="100" w:afterAutospacing="1" w:line="336" w:lineRule="auto"/>
        <w:rPr>
          <w:rFonts w:eastAsia="Times New Roman" w:cs="Arial"/>
          <w:b/>
          <w:sz w:val="20"/>
          <w:szCs w:val="20"/>
          <w:highlight w:val="yellow"/>
          <w:lang w:eastAsia="et-EE"/>
        </w:rPr>
      </w:pPr>
      <w:proofErr w:type="spellStart"/>
      <w:r w:rsidRPr="008932F0">
        <w:rPr>
          <w:rFonts w:eastAsia="Times New Roman" w:cs="Arial"/>
          <w:b/>
          <w:sz w:val="20"/>
          <w:szCs w:val="20"/>
          <w:highlight w:val="yellow"/>
          <w:lang w:eastAsia="et-EE"/>
        </w:rPr>
        <w:t>Dabigatraan</w:t>
      </w:r>
      <w:proofErr w:type="spellEnd"/>
      <w:r w:rsidRPr="008932F0">
        <w:rPr>
          <w:rFonts w:eastAsia="Times New Roman" w:cs="Arial"/>
          <w:b/>
          <w:sz w:val="20"/>
          <w:szCs w:val="20"/>
          <w:highlight w:val="yellow"/>
          <w:lang w:eastAsia="et-EE"/>
        </w:rPr>
        <w:t xml:space="preserve"> </w:t>
      </w:r>
      <w:r>
        <w:rPr>
          <w:rFonts w:eastAsia="Times New Roman" w:cs="Arial"/>
          <w:b/>
          <w:sz w:val="20"/>
          <w:szCs w:val="20"/>
          <w:highlight w:val="yellow"/>
          <w:lang w:eastAsia="et-EE"/>
        </w:rPr>
        <w:t>/</w:t>
      </w:r>
      <w:r w:rsidRPr="008932F0">
        <w:rPr>
          <w:rFonts w:eastAsia="Times New Roman" w:cs="Arial"/>
          <w:b/>
          <w:sz w:val="20"/>
          <w:szCs w:val="20"/>
          <w:highlight w:val="yellow"/>
          <w:lang w:eastAsia="et-EE"/>
        </w:rPr>
        <w:t xml:space="preserve"> pneumoonia</w:t>
      </w:r>
    </w:p>
    <w:p w14:paraId="204F2BC6" w14:textId="77777777" w:rsidR="00FD4BF9" w:rsidRPr="008932F0" w:rsidRDefault="00FD4BF9" w:rsidP="00FD4BF9">
      <w:pPr>
        <w:pStyle w:val="ListParagraph"/>
        <w:numPr>
          <w:ilvl w:val="0"/>
          <w:numId w:val="1"/>
        </w:numPr>
        <w:spacing w:before="100" w:beforeAutospacing="1" w:after="100" w:afterAutospacing="1" w:line="336" w:lineRule="auto"/>
        <w:rPr>
          <w:rFonts w:eastAsia="Times New Roman" w:cs="Arial"/>
          <w:sz w:val="20"/>
          <w:szCs w:val="20"/>
          <w:highlight w:val="yellow"/>
          <w:lang w:eastAsia="et-EE"/>
        </w:rPr>
      </w:pPr>
      <w:r w:rsidRPr="008932F0">
        <w:rPr>
          <w:rFonts w:eastAsia="Times New Roman" w:cs="Arial"/>
          <w:sz w:val="20"/>
          <w:szCs w:val="20"/>
          <w:highlight w:val="yellow"/>
          <w:lang w:eastAsia="et-EE"/>
        </w:rPr>
        <w:t xml:space="preserve">86-aastane meespatsient sai </w:t>
      </w:r>
      <w:proofErr w:type="spellStart"/>
      <w:r w:rsidRPr="008932F0">
        <w:rPr>
          <w:rFonts w:eastAsia="Times New Roman" w:cs="Arial"/>
          <w:sz w:val="20"/>
          <w:szCs w:val="20"/>
          <w:highlight w:val="yellow"/>
          <w:lang w:eastAsia="et-EE"/>
        </w:rPr>
        <w:t>dabigatraani</w:t>
      </w:r>
      <w:proofErr w:type="spellEnd"/>
      <w:r w:rsidRPr="008932F0">
        <w:rPr>
          <w:rFonts w:eastAsia="Times New Roman" w:cs="Arial"/>
          <w:sz w:val="20"/>
          <w:szCs w:val="20"/>
          <w:highlight w:val="yellow"/>
          <w:lang w:eastAsia="et-EE"/>
        </w:rPr>
        <w:t xml:space="preserve"> insuldi profülaktikaks kodade virvendusarütmia tõttu. Patsiendil tekkis </w:t>
      </w:r>
      <w:proofErr w:type="spellStart"/>
      <w:r w:rsidRPr="008932F0">
        <w:rPr>
          <w:rFonts w:eastAsia="Times New Roman" w:cs="Arial"/>
          <w:sz w:val="20"/>
          <w:szCs w:val="20"/>
          <w:highlight w:val="yellow"/>
          <w:lang w:eastAsia="et-EE"/>
        </w:rPr>
        <w:t>pulmonaalne</w:t>
      </w:r>
      <w:proofErr w:type="spellEnd"/>
      <w:r w:rsidRPr="008932F0">
        <w:rPr>
          <w:rFonts w:eastAsia="Times New Roman" w:cs="Arial"/>
          <w:sz w:val="20"/>
          <w:szCs w:val="20"/>
          <w:highlight w:val="yellow"/>
          <w:lang w:eastAsia="et-EE"/>
        </w:rPr>
        <w:t xml:space="preserve"> emboolia ja bakteriaalne pneumoonia, mille tõttu ta vajas haiglaravi. Kaasuvana kasutas patsient </w:t>
      </w:r>
      <w:proofErr w:type="spellStart"/>
      <w:r w:rsidRPr="008932F0">
        <w:rPr>
          <w:rFonts w:eastAsia="Times New Roman" w:cs="Arial"/>
          <w:sz w:val="20"/>
          <w:szCs w:val="20"/>
          <w:highlight w:val="yellow"/>
          <w:lang w:eastAsia="et-EE"/>
        </w:rPr>
        <w:t>ramipriili</w:t>
      </w:r>
      <w:proofErr w:type="spellEnd"/>
      <w:r w:rsidRPr="008932F0">
        <w:rPr>
          <w:rFonts w:eastAsia="Times New Roman" w:cs="Arial"/>
          <w:sz w:val="20"/>
          <w:szCs w:val="20"/>
          <w:highlight w:val="yellow"/>
          <w:lang w:eastAsia="et-EE"/>
        </w:rPr>
        <w:t xml:space="preserve">, </w:t>
      </w:r>
      <w:proofErr w:type="spellStart"/>
      <w:r w:rsidRPr="008932F0">
        <w:rPr>
          <w:rFonts w:eastAsia="Times New Roman" w:cs="Arial"/>
          <w:sz w:val="20"/>
          <w:szCs w:val="20"/>
          <w:highlight w:val="yellow"/>
          <w:lang w:eastAsia="et-EE"/>
        </w:rPr>
        <w:t>verapamiili</w:t>
      </w:r>
      <w:proofErr w:type="spellEnd"/>
      <w:r w:rsidRPr="008932F0">
        <w:rPr>
          <w:rFonts w:eastAsia="Times New Roman" w:cs="Arial"/>
          <w:sz w:val="20"/>
          <w:szCs w:val="20"/>
          <w:highlight w:val="yellow"/>
          <w:lang w:eastAsia="et-EE"/>
        </w:rPr>
        <w:t xml:space="preserve"> ja </w:t>
      </w:r>
      <w:proofErr w:type="spellStart"/>
      <w:r w:rsidRPr="008932F0">
        <w:rPr>
          <w:rFonts w:eastAsia="Times New Roman" w:cs="Arial"/>
          <w:sz w:val="20"/>
          <w:szCs w:val="20"/>
          <w:highlight w:val="yellow"/>
          <w:lang w:eastAsia="et-EE"/>
        </w:rPr>
        <w:t>tsüproterooni</w:t>
      </w:r>
      <w:proofErr w:type="spellEnd"/>
      <w:r w:rsidRPr="008932F0">
        <w:rPr>
          <w:rFonts w:eastAsia="Times New Roman" w:cs="Arial"/>
          <w:sz w:val="20"/>
          <w:szCs w:val="20"/>
          <w:highlight w:val="yellow"/>
          <w:lang w:eastAsia="et-EE"/>
        </w:rPr>
        <w:t xml:space="preserve">. Anamneesis esines eesnäärmevähk, mis oli piirdunud ja opereeritud 10 aastat tagasi. Anamneesis oli ka läbipõetud ajuinfarkt. Arsti hinnangul unustas patsient mõnikord </w:t>
      </w:r>
      <w:proofErr w:type="spellStart"/>
      <w:r w:rsidRPr="008932F0">
        <w:rPr>
          <w:rFonts w:eastAsia="Times New Roman" w:cs="Arial"/>
          <w:sz w:val="20"/>
          <w:szCs w:val="20"/>
          <w:highlight w:val="yellow"/>
          <w:lang w:eastAsia="et-EE"/>
        </w:rPr>
        <w:t>dabigatraani</w:t>
      </w:r>
      <w:proofErr w:type="spellEnd"/>
      <w:r w:rsidRPr="008932F0">
        <w:rPr>
          <w:rFonts w:eastAsia="Times New Roman" w:cs="Arial"/>
          <w:sz w:val="20"/>
          <w:szCs w:val="20"/>
          <w:highlight w:val="yellow"/>
          <w:lang w:eastAsia="et-EE"/>
        </w:rPr>
        <w:t xml:space="preserve"> võtta 2 korda päevas. Seost </w:t>
      </w:r>
      <w:r w:rsidRPr="008932F0">
        <w:rPr>
          <w:rFonts w:eastAsia="Times New Roman" w:cs="Arial"/>
          <w:sz w:val="20"/>
          <w:szCs w:val="20"/>
          <w:highlight w:val="yellow"/>
          <w:lang w:eastAsia="et-EE"/>
        </w:rPr>
        <w:lastRenderedPageBreak/>
        <w:t xml:space="preserve">ravimiga (ebaefektiivsus) ei saa välistada, kuigi kaasnesid teised riskifaktorid (sugu, vanus, eelnev ajuinfarkt, FA, ravimi annuse vahelejätmine). Pneumoonia hinnati seniteadmata kõrvaltoimeks, kuid tõenäoselt oli tegemist pigem kopsuemboolia tüsistusega.  </w:t>
      </w:r>
    </w:p>
    <w:p w14:paraId="49E9B17E" w14:textId="77777777" w:rsidR="00F71F04" w:rsidRPr="008500AB" w:rsidRDefault="00F71F04" w:rsidP="00F71F04">
      <w:pPr>
        <w:pStyle w:val="Heading1"/>
        <w:rPr>
          <w:rFonts w:asciiTheme="minorHAnsi" w:eastAsia="Times New Roman" w:hAnsiTheme="minorHAnsi" w:cs="Times New Roman"/>
          <w:color w:val="365F91"/>
        </w:rPr>
      </w:pPr>
      <w:r w:rsidRPr="008500AB">
        <w:rPr>
          <w:rFonts w:asciiTheme="minorHAnsi" w:eastAsia="Times New Roman" w:hAnsiTheme="minorHAnsi" w:cs="Times New Roman"/>
          <w:color w:val="365F91"/>
        </w:rPr>
        <w:t>Vaktsiinide kõrvaltoimed</w:t>
      </w:r>
    </w:p>
    <w:p w14:paraId="254B0205" w14:textId="77777777" w:rsidR="00DB2FA3" w:rsidRPr="00BD662F" w:rsidRDefault="00F71F04" w:rsidP="00DB2FA3">
      <w:pPr>
        <w:autoSpaceDE w:val="0"/>
        <w:autoSpaceDN w:val="0"/>
        <w:adjustRightInd w:val="0"/>
        <w:jc w:val="both"/>
      </w:pPr>
      <w:r w:rsidRPr="00BD662F">
        <w:rPr>
          <w:rFonts w:eastAsia="Times New Roman" w:cs="Arial"/>
          <w:lang w:eastAsia="et-EE"/>
        </w:rPr>
        <w:t xml:space="preserve">2015. aastal saadeti Ravimiametile </w:t>
      </w:r>
      <w:r w:rsidR="00A75325" w:rsidRPr="00BD662F">
        <w:rPr>
          <w:rFonts w:eastAsia="Times New Roman" w:cs="Arial"/>
          <w:lang w:eastAsia="et-EE"/>
        </w:rPr>
        <w:t>42</w:t>
      </w:r>
      <w:r w:rsidRPr="00BD662F">
        <w:rPr>
          <w:rFonts w:eastAsia="Times New Roman" w:cs="Arial"/>
          <w:lang w:eastAsia="et-EE"/>
        </w:rPr>
        <w:t xml:space="preserve"> teatist vaktsiinide võimal</w:t>
      </w:r>
      <w:r w:rsidR="001D6C12" w:rsidRPr="00BD662F">
        <w:rPr>
          <w:rFonts w:eastAsia="Times New Roman" w:cs="Arial"/>
          <w:lang w:eastAsia="et-EE"/>
        </w:rPr>
        <w:t>ike kõrvaltoimete kohta. Neist 41</w:t>
      </w:r>
      <w:r w:rsidRPr="00BD662F">
        <w:rPr>
          <w:rFonts w:eastAsia="Times New Roman" w:cs="Arial"/>
          <w:lang w:eastAsia="et-EE"/>
        </w:rPr>
        <w:t xml:space="preserve"> juhul hinnati seos vaktsiiniga vähemalt võimalikuks. </w:t>
      </w:r>
      <w:r w:rsidR="00DB2FA3" w:rsidRPr="00BD662F">
        <w:rPr>
          <w:rFonts w:eastAsia="Times New Roman" w:cs="Arial"/>
          <w:lang w:eastAsia="et-EE"/>
        </w:rPr>
        <w:t xml:space="preserve">6 teatises kirjeldati tõsiseid reaktsioone. </w:t>
      </w:r>
      <w:r w:rsidR="00377C5E" w:rsidRPr="00BD662F">
        <w:t xml:space="preserve">Kokku väljastati Eestis hulgimüügist apteekidele ja haiglatele 2015. aastal </w:t>
      </w:r>
      <w:r w:rsidR="00306F95" w:rsidRPr="00BD662F">
        <w:t>ligi</w:t>
      </w:r>
      <w:r w:rsidR="00377C5E" w:rsidRPr="00BD662F">
        <w:t xml:space="preserve"> 3</w:t>
      </w:r>
      <w:r w:rsidR="00306F95" w:rsidRPr="00BD662F">
        <w:t>80 000 vaktsiiniannust</w:t>
      </w:r>
      <w:r w:rsidR="00377C5E" w:rsidRPr="00BD662F">
        <w:t>.</w:t>
      </w:r>
      <w:r w:rsidR="00DB2FA3" w:rsidRPr="00BD662F">
        <w:t xml:space="preserve"> Arvestades vaktsiinide kasutuse ulatust ja kõrvaltoimete arvu, võib öelda, et vaktsiinid on väga ohutud ravimid. Nende kasutamisest saadav kasu (haiguse ärahoidmine) ületab kindlalt võimalikud ohud.</w:t>
      </w:r>
    </w:p>
    <w:p w14:paraId="49994C16" w14:textId="77777777" w:rsidR="00020CFE" w:rsidRPr="00BD662F" w:rsidRDefault="00020CFE" w:rsidP="00F71F04">
      <w:pPr>
        <w:spacing w:before="100" w:beforeAutospacing="1" w:after="100" w:afterAutospacing="1" w:line="336" w:lineRule="auto"/>
        <w:rPr>
          <w:rFonts w:eastAsia="Times New Roman" w:cs="Arial"/>
          <w:b/>
          <w:lang w:eastAsia="et-EE"/>
        </w:rPr>
      </w:pPr>
      <w:r w:rsidRPr="00BD662F">
        <w:rPr>
          <w:rFonts w:eastAsia="Times New Roman" w:cs="Arial"/>
          <w:b/>
          <w:lang w:eastAsia="et-EE"/>
        </w:rPr>
        <w:t>Immuniseerimiskava vaktsiinid lastel</w:t>
      </w:r>
    </w:p>
    <w:p w14:paraId="1908D2C5" w14:textId="77777777" w:rsidR="00F71F04" w:rsidRPr="00BD662F" w:rsidRDefault="00F71F04" w:rsidP="00F71F04">
      <w:pPr>
        <w:spacing w:before="100" w:beforeAutospacing="1" w:after="100" w:afterAutospacing="1" w:line="336" w:lineRule="auto"/>
        <w:rPr>
          <w:rFonts w:eastAsia="Times New Roman" w:cs="Arial"/>
          <w:lang w:eastAsia="et-EE"/>
        </w:rPr>
      </w:pPr>
      <w:r w:rsidRPr="00BD662F">
        <w:rPr>
          <w:rFonts w:eastAsia="Times New Roman" w:cs="Arial"/>
          <w:u w:val="single"/>
          <w:lang w:eastAsia="et-EE"/>
        </w:rPr>
        <w:t>Tuberkuloosi nõrgestatud elusvaktsiin</w:t>
      </w:r>
      <w:r w:rsidRPr="00BD662F">
        <w:rPr>
          <w:rFonts w:eastAsia="Times New Roman" w:cs="Arial"/>
          <w:lang w:eastAsia="et-EE"/>
        </w:rPr>
        <w:t xml:space="preserve"> (</w:t>
      </w:r>
      <w:r w:rsidR="00CB6596" w:rsidRPr="00BD662F">
        <w:rPr>
          <w:rFonts w:eastAsia="Times New Roman" w:cs="Arial"/>
          <w:lang w:eastAsia="et-EE"/>
        </w:rPr>
        <w:t>2</w:t>
      </w:r>
      <w:r w:rsidRPr="00BD662F">
        <w:rPr>
          <w:rFonts w:eastAsia="Times New Roman" w:cs="Arial"/>
          <w:lang w:eastAsia="et-EE"/>
        </w:rPr>
        <w:t xml:space="preserve"> teatis</w:t>
      </w:r>
      <w:r w:rsidR="00CB6596" w:rsidRPr="00BD662F">
        <w:rPr>
          <w:rFonts w:eastAsia="Times New Roman" w:cs="Arial"/>
          <w:lang w:eastAsia="et-EE"/>
        </w:rPr>
        <w:t>t</w:t>
      </w:r>
      <w:r w:rsidRPr="00BD662F">
        <w:rPr>
          <w:rFonts w:eastAsia="Times New Roman" w:cs="Arial"/>
          <w:lang w:eastAsia="et-EE"/>
        </w:rPr>
        <w:t xml:space="preserve">, </w:t>
      </w:r>
      <w:r w:rsidR="00CB6596" w:rsidRPr="00BD662F">
        <w:rPr>
          <w:rFonts w:eastAsia="Times New Roman" w:cs="Arial"/>
          <w:lang w:eastAsia="et-EE"/>
        </w:rPr>
        <w:t xml:space="preserve">neist 1 </w:t>
      </w:r>
      <w:r w:rsidRPr="00BD662F">
        <w:rPr>
          <w:rFonts w:eastAsia="Times New Roman" w:cs="Arial"/>
          <w:lang w:eastAsia="et-EE"/>
        </w:rPr>
        <w:t xml:space="preserve">tõsine) </w:t>
      </w:r>
    </w:p>
    <w:p w14:paraId="028A7CD4" w14:textId="77777777" w:rsidR="00F71F04" w:rsidRPr="00BD662F" w:rsidRDefault="00ED6250" w:rsidP="00F71F04">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mäda</w:t>
      </w:r>
      <w:r w:rsidR="00C100B8" w:rsidRPr="00BD662F">
        <w:rPr>
          <w:rFonts w:eastAsia="Times New Roman" w:cs="Arial"/>
          <w:lang w:eastAsia="et-EE"/>
        </w:rPr>
        <w:t>n</w:t>
      </w:r>
      <w:r w:rsidRPr="00BD662F">
        <w:rPr>
          <w:rFonts w:eastAsia="Times New Roman" w:cs="Arial"/>
          <w:lang w:eastAsia="et-EE"/>
        </w:rPr>
        <w:t xml:space="preserve">e </w:t>
      </w:r>
      <w:r w:rsidR="00CB6596" w:rsidRPr="00BD662F">
        <w:rPr>
          <w:rFonts w:eastAsia="Times New Roman" w:cs="Arial"/>
          <w:lang w:eastAsia="et-EE"/>
        </w:rPr>
        <w:t>lümfan</w:t>
      </w:r>
      <w:r w:rsidRPr="00BD662F">
        <w:rPr>
          <w:rFonts w:eastAsia="Times New Roman" w:cs="Arial"/>
          <w:lang w:eastAsia="et-EE"/>
        </w:rPr>
        <w:t>deni</w:t>
      </w:r>
      <w:r w:rsidR="00CB6596" w:rsidRPr="00BD662F">
        <w:rPr>
          <w:rFonts w:eastAsia="Times New Roman" w:cs="Arial"/>
          <w:lang w:eastAsia="et-EE"/>
        </w:rPr>
        <w:t>i</w:t>
      </w:r>
      <w:r w:rsidR="00C100B8" w:rsidRPr="00BD662F">
        <w:rPr>
          <w:rFonts w:eastAsia="Times New Roman" w:cs="Arial"/>
          <w:lang w:eastAsia="et-EE"/>
        </w:rPr>
        <w:t>t, mis</w:t>
      </w:r>
      <w:r w:rsidRPr="00BD662F">
        <w:rPr>
          <w:rFonts w:eastAsia="Times New Roman" w:cs="Arial"/>
          <w:lang w:eastAsia="et-EE"/>
        </w:rPr>
        <w:t xml:space="preserve"> vajas kirurgilist </w:t>
      </w:r>
      <w:r w:rsidR="00C100B8" w:rsidRPr="00BD662F">
        <w:rPr>
          <w:rFonts w:eastAsia="Times New Roman" w:cs="Arial"/>
          <w:lang w:eastAsia="et-EE"/>
        </w:rPr>
        <w:t>ravi</w:t>
      </w:r>
      <w:r w:rsidRPr="00BD662F">
        <w:rPr>
          <w:rFonts w:eastAsia="Times New Roman" w:cs="Arial"/>
          <w:lang w:eastAsia="et-EE"/>
        </w:rPr>
        <w:t xml:space="preserve">. Mädane lümfadeniit </w:t>
      </w:r>
      <w:r w:rsidR="00592C59" w:rsidRPr="00BD662F">
        <w:rPr>
          <w:rFonts w:eastAsia="Times New Roman" w:cs="Arial"/>
          <w:lang w:eastAsia="et-EE"/>
        </w:rPr>
        <w:t xml:space="preserve">on </w:t>
      </w:r>
      <w:r w:rsidRPr="00BD662F">
        <w:rPr>
          <w:rFonts w:eastAsia="Times New Roman" w:cs="Arial"/>
          <w:lang w:eastAsia="et-EE"/>
        </w:rPr>
        <w:t xml:space="preserve">tuberkuloosivastase vaktsiini </w:t>
      </w:r>
      <w:r w:rsidR="00F71F04" w:rsidRPr="00BD662F">
        <w:rPr>
          <w:rFonts w:eastAsia="Times New Roman" w:cs="Arial"/>
          <w:lang w:eastAsia="et-EE"/>
        </w:rPr>
        <w:t xml:space="preserve">teadaolev kõrvaltoime. </w:t>
      </w:r>
    </w:p>
    <w:p w14:paraId="15E37968" w14:textId="77777777" w:rsidR="00C35E21" w:rsidRPr="00BD662F" w:rsidRDefault="00DC2245" w:rsidP="00F71F04">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2-kuusel lapsel </w:t>
      </w:r>
      <w:r w:rsidR="001C1F5A" w:rsidRPr="00BD662F">
        <w:rPr>
          <w:rFonts w:eastAsia="Times New Roman" w:cs="Arial"/>
          <w:lang w:eastAsia="et-EE"/>
        </w:rPr>
        <w:t>(hilisem vaktsineerimine ei olnud meditsiinilisel põhjusel)</w:t>
      </w:r>
      <w:r w:rsidRPr="00BD662F">
        <w:rPr>
          <w:rFonts w:eastAsia="Times New Roman" w:cs="Arial"/>
          <w:lang w:eastAsia="et-EE"/>
        </w:rPr>
        <w:t xml:space="preserve"> </w:t>
      </w:r>
      <w:r w:rsidR="00C100B8" w:rsidRPr="00BD662F">
        <w:rPr>
          <w:rFonts w:eastAsia="Times New Roman" w:cs="Arial"/>
          <w:lang w:eastAsia="et-EE"/>
        </w:rPr>
        <w:t>tekkis v</w:t>
      </w:r>
      <w:r w:rsidRPr="00BD662F">
        <w:rPr>
          <w:rFonts w:eastAsia="Times New Roman" w:cs="Arial"/>
          <w:lang w:eastAsia="et-EE"/>
        </w:rPr>
        <w:t xml:space="preserve">aktsineerimisjärgsel </w:t>
      </w:r>
      <w:r w:rsidR="00C35E21" w:rsidRPr="00BD662F">
        <w:rPr>
          <w:rFonts w:eastAsia="Times New Roman" w:cs="Arial"/>
          <w:lang w:eastAsia="et-EE"/>
        </w:rPr>
        <w:t>õhtul kramplik lohutamatu nutt ja palavik 38,5</w:t>
      </w:r>
      <w:r w:rsidR="00C100B8" w:rsidRPr="00BD662F">
        <w:rPr>
          <w:rFonts w:eastAsia="Times New Roman" w:cs="Arial"/>
          <w:lang w:eastAsia="et-EE"/>
        </w:rPr>
        <w:t xml:space="preserve"> °</w:t>
      </w:r>
      <w:r w:rsidR="00C35E21" w:rsidRPr="00BD662F">
        <w:rPr>
          <w:rFonts w:eastAsia="Times New Roman" w:cs="Arial"/>
          <w:lang w:eastAsia="et-EE"/>
        </w:rPr>
        <w:t>C. Kõik nähud möödusid ilma ravita 48 tunniga. Kõrvaltoime hinnati mittetõsiseks, seos vaktsiiniga</w:t>
      </w:r>
      <w:r w:rsidRPr="00BD662F">
        <w:rPr>
          <w:rFonts w:eastAsia="Times New Roman" w:cs="Arial"/>
          <w:lang w:eastAsia="et-EE"/>
        </w:rPr>
        <w:t xml:space="preserve"> on</w:t>
      </w:r>
      <w:r w:rsidR="00C35E21" w:rsidRPr="00BD662F">
        <w:rPr>
          <w:rFonts w:eastAsia="Times New Roman" w:cs="Arial"/>
          <w:lang w:eastAsia="et-EE"/>
        </w:rPr>
        <w:t xml:space="preserve"> võimalik.</w:t>
      </w:r>
    </w:p>
    <w:p w14:paraId="52B53A96" w14:textId="77777777" w:rsidR="004C3CBD" w:rsidRPr="00BD662F" w:rsidRDefault="004C3CBD" w:rsidP="004C3CBD">
      <w:pPr>
        <w:spacing w:before="100" w:beforeAutospacing="1" w:after="100" w:afterAutospacing="1" w:line="336" w:lineRule="auto"/>
        <w:rPr>
          <w:rFonts w:eastAsia="Times New Roman" w:cs="Arial"/>
          <w:lang w:eastAsia="et-EE"/>
        </w:rPr>
      </w:pPr>
      <w:r w:rsidRPr="00BD662F">
        <w:rPr>
          <w:rFonts w:eastAsia="Times New Roman" w:cs="Arial"/>
          <w:u w:val="single"/>
          <w:lang w:eastAsia="et-EE"/>
        </w:rPr>
        <w:t>B-hepatiidi vaktsiin</w:t>
      </w:r>
      <w:r w:rsidRPr="00BD662F">
        <w:rPr>
          <w:rFonts w:eastAsia="Times New Roman" w:cs="Arial"/>
          <w:lang w:eastAsia="et-EE"/>
        </w:rPr>
        <w:t xml:space="preserve"> (1 teatis, tõsine)</w:t>
      </w:r>
    </w:p>
    <w:p w14:paraId="0D9578FE" w14:textId="77777777" w:rsidR="004C3CBD" w:rsidRPr="00BD662F" w:rsidRDefault="004C3CBD" w:rsidP="004C3CBD">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lokaalne turse ja infiltraat piiritletud "</w:t>
      </w:r>
      <w:proofErr w:type="spellStart"/>
      <w:r w:rsidRPr="00BD662F">
        <w:rPr>
          <w:rFonts w:eastAsia="Times New Roman" w:cs="Arial"/>
          <w:lang w:eastAsia="et-EE"/>
        </w:rPr>
        <w:t>kirss-tsüanootiliste</w:t>
      </w:r>
      <w:proofErr w:type="spellEnd"/>
      <w:r w:rsidRPr="00BD662F">
        <w:rPr>
          <w:rFonts w:eastAsia="Times New Roman" w:cs="Arial"/>
          <w:lang w:eastAsia="et-EE"/>
        </w:rPr>
        <w:t xml:space="preserve">" laikudega, imik vajas haiglaravi.  </w:t>
      </w:r>
    </w:p>
    <w:p w14:paraId="3A4F5C59" w14:textId="77777777" w:rsidR="004C3CBD" w:rsidRPr="00BD662F" w:rsidRDefault="004C3CBD" w:rsidP="004C3CBD">
      <w:pPr>
        <w:pStyle w:val="NormalWeb"/>
        <w:spacing w:line="336" w:lineRule="auto"/>
        <w:rPr>
          <w:rFonts w:asciiTheme="minorHAnsi" w:hAnsiTheme="minorHAnsi" w:cs="Arial"/>
          <w:sz w:val="22"/>
          <w:szCs w:val="22"/>
        </w:rPr>
      </w:pPr>
      <w:r w:rsidRPr="00BD662F">
        <w:rPr>
          <w:rFonts w:asciiTheme="minorHAnsi" w:hAnsiTheme="minorHAnsi" w:cs="Arial"/>
          <w:sz w:val="22"/>
          <w:szCs w:val="22"/>
          <w:u w:val="single"/>
        </w:rPr>
        <w:t>Rotaviiruse nõrgestatud elusvaktsiin (4 teatist, mittetõsised)</w:t>
      </w:r>
      <w:r w:rsidRPr="00BD662F">
        <w:rPr>
          <w:rFonts w:asciiTheme="minorHAnsi" w:hAnsiTheme="minorHAnsi" w:cs="Arial"/>
          <w:sz w:val="22"/>
          <w:szCs w:val="22"/>
        </w:rPr>
        <w:t xml:space="preserve"> </w:t>
      </w:r>
    </w:p>
    <w:p w14:paraId="1196A564" w14:textId="77777777" w:rsidR="004C3CBD" w:rsidRPr="00BD662F" w:rsidRDefault="004C3CBD" w:rsidP="004C3CBD">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3 juhul esines kõhulahtisus, ühel juhul lisaks ka oksendamine, kõhuvalu ja toidu tagasiheide;</w:t>
      </w:r>
    </w:p>
    <w:p w14:paraId="5B53A5BF" w14:textId="77777777" w:rsidR="004C3CBD" w:rsidRPr="00BD662F" w:rsidRDefault="004C3CBD" w:rsidP="004C3CBD">
      <w:pPr>
        <w:pStyle w:val="ListParagraph"/>
        <w:numPr>
          <w:ilvl w:val="0"/>
          <w:numId w:val="1"/>
        </w:numPr>
        <w:spacing w:before="100" w:beforeAutospacing="1" w:after="100" w:afterAutospacing="1" w:line="336" w:lineRule="auto"/>
        <w:rPr>
          <w:rFonts w:eastAsia="Times New Roman" w:cs="Arial"/>
          <w:u w:val="single"/>
          <w:lang w:eastAsia="et-EE"/>
        </w:rPr>
      </w:pPr>
      <w:r w:rsidRPr="00BD662F">
        <w:rPr>
          <w:rFonts w:eastAsia="Times New Roman" w:cs="Arial"/>
          <w:lang w:eastAsia="et-EE"/>
        </w:rPr>
        <w:t>1 juhul muutus laps pärast rotaviiruse vaktsiini 2. doosi väga rahutuks, rabeles ja nuttis lohutamatult. Samas selgus hiljem, et laps sai samal päeval ka d</w:t>
      </w:r>
      <w:r w:rsidRPr="00BD662F">
        <w:rPr>
          <w:rFonts w:cs="Arial"/>
        </w:rPr>
        <w:t xml:space="preserve">ifteeria, teetanuse, läkaköha, poliomüeliidi, </w:t>
      </w:r>
      <w:proofErr w:type="spellStart"/>
      <w:r w:rsidRPr="00BD662F">
        <w:rPr>
          <w:rFonts w:cs="Arial"/>
          <w:i/>
        </w:rPr>
        <w:t>Haemophilus</w:t>
      </w:r>
      <w:proofErr w:type="spellEnd"/>
      <w:r w:rsidRPr="00BD662F">
        <w:rPr>
          <w:rFonts w:cs="Arial"/>
          <w:i/>
        </w:rPr>
        <w:t xml:space="preserve"> </w:t>
      </w:r>
      <w:proofErr w:type="spellStart"/>
      <w:r w:rsidRPr="00BD662F">
        <w:rPr>
          <w:rFonts w:cs="Arial"/>
          <w:i/>
        </w:rPr>
        <w:t>influenza</w:t>
      </w:r>
      <w:proofErr w:type="spellEnd"/>
      <w:r w:rsidRPr="00BD662F">
        <w:rPr>
          <w:rFonts w:cs="Arial"/>
          <w:i/>
        </w:rPr>
        <w:t xml:space="preserve"> B</w:t>
      </w:r>
      <w:r w:rsidRPr="00BD662F">
        <w:rPr>
          <w:rFonts w:cs="Arial"/>
        </w:rPr>
        <w:t xml:space="preserve"> kompleksvaktsiini. Seetõttu võis tekkinud seisund olla seotud mõlema vaktsiiniga.</w:t>
      </w:r>
      <w:r w:rsidRPr="00BD662F">
        <w:rPr>
          <w:rFonts w:eastAsia="Times New Roman" w:cs="Arial"/>
          <w:u w:val="single"/>
          <w:lang w:eastAsia="et-EE"/>
        </w:rPr>
        <w:t xml:space="preserve"> </w:t>
      </w:r>
    </w:p>
    <w:p w14:paraId="330A87F9" w14:textId="77777777" w:rsidR="00F71F04" w:rsidRPr="00BD662F" w:rsidRDefault="00F71F04" w:rsidP="00F71F04">
      <w:pPr>
        <w:pStyle w:val="NormalWeb"/>
        <w:spacing w:line="336" w:lineRule="auto"/>
        <w:rPr>
          <w:rFonts w:asciiTheme="minorHAnsi" w:hAnsiTheme="minorHAnsi" w:cs="Arial"/>
          <w:sz w:val="22"/>
          <w:szCs w:val="22"/>
        </w:rPr>
      </w:pPr>
      <w:r w:rsidRPr="00BD662F">
        <w:rPr>
          <w:rFonts w:asciiTheme="minorHAnsi" w:hAnsiTheme="minorHAnsi" w:cs="Arial"/>
          <w:sz w:val="22"/>
          <w:szCs w:val="22"/>
          <w:u w:val="single"/>
        </w:rPr>
        <w:t>Difteeria, teetanuse, läkaköha vaktsiin</w:t>
      </w:r>
      <w:r w:rsidRPr="00BD662F">
        <w:rPr>
          <w:rFonts w:asciiTheme="minorHAnsi" w:hAnsiTheme="minorHAnsi" w:cs="Arial"/>
          <w:sz w:val="22"/>
          <w:szCs w:val="22"/>
        </w:rPr>
        <w:t xml:space="preserve"> (2 teatist, mittetõsised) </w:t>
      </w:r>
    </w:p>
    <w:p w14:paraId="360F3167" w14:textId="77777777" w:rsidR="00F71F04" w:rsidRPr="00BD662F" w:rsidRDefault="00C35E21" w:rsidP="00F71F04">
      <w:pPr>
        <w:numPr>
          <w:ilvl w:val="0"/>
          <w:numId w:val="1"/>
        </w:numPr>
        <w:spacing w:before="100" w:beforeAutospacing="1" w:after="100" w:afterAutospacing="1" w:line="336" w:lineRule="auto"/>
        <w:rPr>
          <w:rFonts w:eastAsia="Times New Roman" w:cs="Arial"/>
          <w:lang w:eastAsia="et-EE"/>
        </w:rPr>
      </w:pPr>
      <w:proofErr w:type="spellStart"/>
      <w:r w:rsidRPr="00BD662F">
        <w:rPr>
          <w:rFonts w:eastAsia="Times New Roman" w:cs="Arial"/>
          <w:lang w:eastAsia="et-EE"/>
        </w:rPr>
        <w:t>dissotsiatiivne</w:t>
      </w:r>
      <w:proofErr w:type="spellEnd"/>
      <w:r w:rsidRPr="00BD662F">
        <w:rPr>
          <w:rFonts w:eastAsia="Times New Roman" w:cs="Arial"/>
          <w:lang w:eastAsia="et-EE"/>
        </w:rPr>
        <w:t xml:space="preserve"> motoorne häire</w:t>
      </w:r>
      <w:r w:rsidR="00F71F04" w:rsidRPr="00BD662F">
        <w:rPr>
          <w:rFonts w:eastAsia="Times New Roman" w:cs="Arial"/>
          <w:lang w:eastAsia="et-EE"/>
        </w:rPr>
        <w:t xml:space="preserve">; </w:t>
      </w:r>
    </w:p>
    <w:p w14:paraId="7FE6FD01" w14:textId="77777777" w:rsidR="00F71F04" w:rsidRPr="00BD662F" w:rsidRDefault="00C35E21" w:rsidP="00F71F04">
      <w:pPr>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palavik ja krambid (epilepsia eelnevalt anamneesis, kuid </w:t>
      </w:r>
      <w:r w:rsidR="001C1F5A" w:rsidRPr="00BD662F">
        <w:rPr>
          <w:rFonts w:eastAsia="Times New Roman" w:cs="Arial"/>
          <w:lang w:eastAsia="et-EE"/>
        </w:rPr>
        <w:t xml:space="preserve">krampide </w:t>
      </w:r>
      <w:r w:rsidRPr="00BD662F">
        <w:rPr>
          <w:rFonts w:eastAsia="Times New Roman" w:cs="Arial"/>
          <w:lang w:eastAsia="et-EE"/>
        </w:rPr>
        <w:t>ravi piirdus palaviku alandamisega)</w:t>
      </w:r>
      <w:r w:rsidR="00F71F04" w:rsidRPr="00BD662F">
        <w:rPr>
          <w:rFonts w:eastAsia="Times New Roman" w:cs="Arial"/>
          <w:lang w:eastAsia="et-EE"/>
        </w:rPr>
        <w:t xml:space="preserve">. </w:t>
      </w:r>
    </w:p>
    <w:p w14:paraId="5B84FF3B" w14:textId="77777777" w:rsidR="00F71F04" w:rsidRPr="00BD662F" w:rsidRDefault="00F71F04" w:rsidP="00F71F04">
      <w:pPr>
        <w:pStyle w:val="NormalWeb"/>
        <w:spacing w:line="336" w:lineRule="auto"/>
        <w:rPr>
          <w:rFonts w:asciiTheme="minorHAnsi" w:hAnsiTheme="minorHAnsi" w:cs="Arial"/>
          <w:sz w:val="22"/>
          <w:szCs w:val="22"/>
        </w:rPr>
      </w:pPr>
      <w:r w:rsidRPr="00BD662F">
        <w:rPr>
          <w:rFonts w:asciiTheme="minorHAnsi" w:hAnsiTheme="minorHAnsi" w:cs="Arial"/>
          <w:sz w:val="22"/>
          <w:szCs w:val="22"/>
          <w:u w:val="single"/>
        </w:rPr>
        <w:lastRenderedPageBreak/>
        <w:t>Difteeria, teetanuse, läkaköha, poliomüeliidi vaktsiin</w:t>
      </w:r>
      <w:r w:rsidRPr="00BD662F">
        <w:rPr>
          <w:rFonts w:asciiTheme="minorHAnsi" w:hAnsiTheme="minorHAnsi" w:cs="Arial"/>
          <w:sz w:val="22"/>
          <w:szCs w:val="22"/>
        </w:rPr>
        <w:t xml:space="preserve"> (</w:t>
      </w:r>
      <w:r w:rsidR="00525569" w:rsidRPr="00BD662F">
        <w:rPr>
          <w:rFonts w:asciiTheme="minorHAnsi" w:hAnsiTheme="minorHAnsi" w:cs="Arial"/>
          <w:sz w:val="22"/>
          <w:szCs w:val="22"/>
        </w:rPr>
        <w:t>2</w:t>
      </w:r>
      <w:r w:rsidRPr="00BD662F">
        <w:rPr>
          <w:rFonts w:asciiTheme="minorHAnsi" w:hAnsiTheme="minorHAnsi" w:cs="Arial"/>
          <w:sz w:val="22"/>
          <w:szCs w:val="22"/>
        </w:rPr>
        <w:t xml:space="preserve"> teatist, mittetõsised reaktsioonid) </w:t>
      </w:r>
    </w:p>
    <w:p w14:paraId="18405B9E" w14:textId="6E27602F" w:rsidR="00F71F04" w:rsidRPr="00BD662F" w:rsidRDefault="00525569" w:rsidP="00F71F04">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2</w:t>
      </w:r>
      <w:r w:rsidR="00F71F04" w:rsidRPr="00BD662F">
        <w:rPr>
          <w:rFonts w:asciiTheme="minorHAnsi" w:hAnsiTheme="minorHAnsi" w:cs="Arial"/>
          <w:sz w:val="22"/>
          <w:szCs w:val="22"/>
        </w:rPr>
        <w:t xml:space="preserve"> süstekoha reaktsiooni, millega ühel juhul kaasnes palavik</w:t>
      </w:r>
      <w:r w:rsidRPr="00BD662F">
        <w:rPr>
          <w:rFonts w:asciiTheme="minorHAnsi" w:hAnsiTheme="minorHAnsi" w:cs="Arial"/>
          <w:sz w:val="22"/>
          <w:szCs w:val="22"/>
        </w:rPr>
        <w:t>.</w:t>
      </w:r>
    </w:p>
    <w:p w14:paraId="7807866D" w14:textId="77777777" w:rsidR="00F71F04" w:rsidRPr="00BD662F" w:rsidRDefault="00F71F04" w:rsidP="00F71F04">
      <w:pPr>
        <w:pStyle w:val="NormalWeb"/>
        <w:spacing w:line="336" w:lineRule="auto"/>
        <w:rPr>
          <w:rFonts w:asciiTheme="minorHAnsi" w:hAnsiTheme="minorHAnsi" w:cs="Arial"/>
          <w:sz w:val="22"/>
          <w:szCs w:val="22"/>
          <w:u w:val="single"/>
        </w:rPr>
      </w:pPr>
      <w:r w:rsidRPr="00BD662F">
        <w:rPr>
          <w:rFonts w:asciiTheme="minorHAnsi" w:hAnsiTheme="minorHAnsi" w:cs="Arial"/>
          <w:sz w:val="22"/>
          <w:szCs w:val="22"/>
          <w:u w:val="single"/>
        </w:rPr>
        <w:t xml:space="preserve">Difteeria, teetanuse, läkaköha, poliomüeliidi, </w:t>
      </w:r>
      <w:proofErr w:type="spellStart"/>
      <w:r w:rsidRPr="00BD662F">
        <w:rPr>
          <w:rFonts w:asciiTheme="minorHAnsi" w:hAnsiTheme="minorHAnsi" w:cs="Arial"/>
          <w:i/>
          <w:sz w:val="22"/>
          <w:szCs w:val="22"/>
          <w:u w:val="single"/>
        </w:rPr>
        <w:t>Haemophilus</w:t>
      </w:r>
      <w:proofErr w:type="spellEnd"/>
      <w:r w:rsidRPr="00BD662F">
        <w:rPr>
          <w:rFonts w:asciiTheme="minorHAnsi" w:hAnsiTheme="minorHAnsi" w:cs="Arial"/>
          <w:i/>
          <w:sz w:val="22"/>
          <w:szCs w:val="22"/>
          <w:u w:val="single"/>
        </w:rPr>
        <w:t xml:space="preserve"> </w:t>
      </w:r>
      <w:proofErr w:type="spellStart"/>
      <w:r w:rsidRPr="00BD662F">
        <w:rPr>
          <w:rFonts w:asciiTheme="minorHAnsi" w:hAnsiTheme="minorHAnsi" w:cs="Arial"/>
          <w:i/>
          <w:sz w:val="22"/>
          <w:szCs w:val="22"/>
          <w:u w:val="single"/>
        </w:rPr>
        <w:t>influenza</w:t>
      </w:r>
      <w:proofErr w:type="spellEnd"/>
      <w:r w:rsidRPr="00BD662F">
        <w:rPr>
          <w:rFonts w:asciiTheme="minorHAnsi" w:hAnsiTheme="minorHAnsi" w:cs="Arial"/>
          <w:i/>
          <w:sz w:val="22"/>
          <w:szCs w:val="22"/>
          <w:u w:val="single"/>
        </w:rPr>
        <w:t xml:space="preserve"> B</w:t>
      </w:r>
      <w:r w:rsidRPr="00BD662F">
        <w:rPr>
          <w:rFonts w:asciiTheme="minorHAnsi" w:hAnsiTheme="minorHAnsi" w:cs="Arial"/>
          <w:sz w:val="22"/>
          <w:szCs w:val="22"/>
          <w:u w:val="single"/>
        </w:rPr>
        <w:t xml:space="preserve"> vaktsiin (</w:t>
      </w:r>
      <w:r w:rsidR="00525569" w:rsidRPr="00BD662F">
        <w:rPr>
          <w:rFonts w:asciiTheme="minorHAnsi" w:hAnsiTheme="minorHAnsi" w:cs="Arial"/>
          <w:sz w:val="22"/>
          <w:szCs w:val="22"/>
          <w:u w:val="single"/>
        </w:rPr>
        <w:t>7</w:t>
      </w:r>
      <w:r w:rsidRPr="00BD662F">
        <w:rPr>
          <w:rFonts w:asciiTheme="minorHAnsi" w:hAnsiTheme="minorHAnsi" w:cs="Arial"/>
          <w:sz w:val="22"/>
          <w:szCs w:val="22"/>
          <w:u w:val="single"/>
        </w:rPr>
        <w:t xml:space="preserve"> teatist</w:t>
      </w:r>
      <w:r w:rsidR="00525569" w:rsidRPr="00BD662F">
        <w:rPr>
          <w:rFonts w:asciiTheme="minorHAnsi" w:hAnsiTheme="minorHAnsi" w:cs="Arial"/>
          <w:sz w:val="22"/>
          <w:szCs w:val="22"/>
          <w:u w:val="single"/>
        </w:rPr>
        <w:t xml:space="preserve">, </w:t>
      </w:r>
      <w:r w:rsidR="00DB2FA3" w:rsidRPr="00BD662F">
        <w:rPr>
          <w:rFonts w:asciiTheme="minorHAnsi" w:hAnsiTheme="minorHAnsi" w:cs="Arial"/>
          <w:sz w:val="22"/>
          <w:szCs w:val="22"/>
          <w:u w:val="single"/>
        </w:rPr>
        <w:t>neist</w:t>
      </w:r>
      <w:r w:rsidR="00525569" w:rsidRPr="00BD662F">
        <w:rPr>
          <w:rFonts w:asciiTheme="minorHAnsi" w:hAnsiTheme="minorHAnsi" w:cs="Arial"/>
          <w:sz w:val="22"/>
          <w:szCs w:val="22"/>
          <w:u w:val="single"/>
        </w:rPr>
        <w:t xml:space="preserve"> 1 tõsine</w:t>
      </w:r>
      <w:r w:rsidRPr="00BD662F">
        <w:rPr>
          <w:rFonts w:asciiTheme="minorHAnsi" w:hAnsiTheme="minorHAnsi" w:cs="Arial"/>
          <w:sz w:val="22"/>
          <w:szCs w:val="22"/>
          <w:u w:val="single"/>
        </w:rPr>
        <w:t xml:space="preserve">) </w:t>
      </w:r>
    </w:p>
    <w:p w14:paraId="53BCEF1E" w14:textId="77777777" w:rsidR="00525569" w:rsidRPr="00BD662F" w:rsidRDefault="00525569" w:rsidP="00F71F04">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6</w:t>
      </w:r>
      <w:r w:rsidR="00F71F04" w:rsidRPr="00BD662F">
        <w:rPr>
          <w:rFonts w:asciiTheme="minorHAnsi" w:hAnsiTheme="minorHAnsi" w:cs="Arial"/>
          <w:sz w:val="22"/>
          <w:szCs w:val="22"/>
        </w:rPr>
        <w:t xml:space="preserve"> juhul </w:t>
      </w:r>
      <w:r w:rsidRPr="00BD662F">
        <w:rPr>
          <w:rFonts w:asciiTheme="minorHAnsi" w:hAnsiTheme="minorHAnsi" w:cs="Arial"/>
          <w:sz w:val="22"/>
          <w:szCs w:val="22"/>
        </w:rPr>
        <w:t>esinesid</w:t>
      </w:r>
      <w:r w:rsidR="00F71F04" w:rsidRPr="00BD662F">
        <w:rPr>
          <w:rFonts w:asciiTheme="minorHAnsi" w:hAnsiTheme="minorHAnsi" w:cs="Arial"/>
          <w:sz w:val="22"/>
          <w:szCs w:val="22"/>
        </w:rPr>
        <w:t xml:space="preserve"> </w:t>
      </w:r>
      <w:r w:rsidRPr="00BD662F">
        <w:rPr>
          <w:rFonts w:asciiTheme="minorHAnsi" w:hAnsiTheme="minorHAnsi" w:cs="Arial"/>
          <w:sz w:val="22"/>
          <w:szCs w:val="22"/>
        </w:rPr>
        <w:t xml:space="preserve">süstekoha reaktsioonid, 4 juhul kaasnes palavik, 1 juhul rahutu uni; 1 juht hinnati tõsiseks, kuna tekkis abstsess ning mädakolle avati kirurgiliselt; </w:t>
      </w:r>
    </w:p>
    <w:p w14:paraId="122E44EB" w14:textId="77777777" w:rsidR="00F71F04" w:rsidRPr="00BD662F" w:rsidRDefault="00525569" w:rsidP="00525569">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 xml:space="preserve">1 juhul esinesid nutuga krambid (lapsevanem kahtlustas krampe, neuroloog epilepsiat siiski ei diagnoosinud, ajaline seos vaktsineerimisega jäi ebaselgeks). </w:t>
      </w:r>
      <w:r w:rsidR="00F71F04" w:rsidRPr="00BD662F">
        <w:rPr>
          <w:rFonts w:asciiTheme="minorHAnsi" w:hAnsiTheme="minorHAnsi" w:cs="Arial"/>
          <w:sz w:val="22"/>
          <w:szCs w:val="22"/>
        </w:rPr>
        <w:t xml:space="preserve">   </w:t>
      </w:r>
    </w:p>
    <w:p w14:paraId="141697E2" w14:textId="77777777" w:rsidR="00F71F04" w:rsidRPr="00BD662F" w:rsidRDefault="00F71F04" w:rsidP="00F71F04">
      <w:pPr>
        <w:pStyle w:val="NormalWeb"/>
        <w:spacing w:line="336" w:lineRule="auto"/>
        <w:rPr>
          <w:rFonts w:asciiTheme="minorHAnsi" w:hAnsiTheme="minorHAnsi" w:cs="Arial"/>
          <w:sz w:val="22"/>
          <w:szCs w:val="22"/>
        </w:rPr>
      </w:pPr>
      <w:r w:rsidRPr="00BD662F">
        <w:rPr>
          <w:rFonts w:asciiTheme="minorHAnsi" w:hAnsiTheme="minorHAnsi" w:cs="Arial"/>
          <w:sz w:val="22"/>
          <w:szCs w:val="22"/>
          <w:u w:val="single"/>
        </w:rPr>
        <w:t xml:space="preserve">Difteeria, teetanuse, läkaköha, poliomüeliidi, </w:t>
      </w:r>
      <w:proofErr w:type="spellStart"/>
      <w:r w:rsidRPr="00BD662F">
        <w:rPr>
          <w:rFonts w:asciiTheme="minorHAnsi" w:hAnsiTheme="minorHAnsi" w:cs="Arial"/>
          <w:i/>
          <w:sz w:val="22"/>
          <w:szCs w:val="22"/>
          <w:u w:val="single"/>
        </w:rPr>
        <w:t>Haemophilus</w:t>
      </w:r>
      <w:proofErr w:type="spellEnd"/>
      <w:r w:rsidRPr="00BD662F">
        <w:rPr>
          <w:rFonts w:asciiTheme="minorHAnsi" w:hAnsiTheme="minorHAnsi" w:cs="Arial"/>
          <w:i/>
          <w:sz w:val="22"/>
          <w:szCs w:val="22"/>
          <w:u w:val="single"/>
        </w:rPr>
        <w:t xml:space="preserve"> </w:t>
      </w:r>
      <w:proofErr w:type="spellStart"/>
      <w:r w:rsidRPr="00BD662F">
        <w:rPr>
          <w:rFonts w:asciiTheme="minorHAnsi" w:hAnsiTheme="minorHAnsi" w:cs="Arial"/>
          <w:i/>
          <w:sz w:val="22"/>
          <w:szCs w:val="22"/>
          <w:u w:val="single"/>
        </w:rPr>
        <w:t>influenza</w:t>
      </w:r>
      <w:proofErr w:type="spellEnd"/>
      <w:r w:rsidRPr="00BD662F">
        <w:rPr>
          <w:rFonts w:asciiTheme="minorHAnsi" w:hAnsiTheme="minorHAnsi" w:cs="Arial"/>
          <w:i/>
          <w:sz w:val="22"/>
          <w:szCs w:val="22"/>
          <w:u w:val="single"/>
        </w:rPr>
        <w:t xml:space="preserve"> B</w:t>
      </w:r>
      <w:r w:rsidRPr="00BD662F">
        <w:rPr>
          <w:rFonts w:asciiTheme="minorHAnsi" w:hAnsiTheme="minorHAnsi" w:cs="Arial"/>
          <w:sz w:val="22"/>
          <w:szCs w:val="22"/>
          <w:u w:val="single"/>
        </w:rPr>
        <w:t xml:space="preserve"> vaktsiin + rotaviiruse elus nõrgestatud vaktsiin </w:t>
      </w:r>
      <w:r w:rsidRPr="00BD662F">
        <w:rPr>
          <w:rFonts w:asciiTheme="minorHAnsi" w:hAnsiTheme="minorHAnsi" w:cs="Arial"/>
          <w:sz w:val="22"/>
          <w:szCs w:val="22"/>
        </w:rPr>
        <w:t>(</w:t>
      </w:r>
      <w:r w:rsidR="008676CA" w:rsidRPr="00BD662F">
        <w:rPr>
          <w:rFonts w:asciiTheme="minorHAnsi" w:hAnsiTheme="minorHAnsi" w:cs="Arial"/>
          <w:sz w:val="22"/>
          <w:szCs w:val="22"/>
        </w:rPr>
        <w:t>2</w:t>
      </w:r>
      <w:r w:rsidRPr="00BD662F">
        <w:rPr>
          <w:rFonts w:asciiTheme="minorHAnsi" w:hAnsiTheme="minorHAnsi" w:cs="Arial"/>
          <w:sz w:val="22"/>
          <w:szCs w:val="22"/>
        </w:rPr>
        <w:t xml:space="preserve"> teatis</w:t>
      </w:r>
      <w:r w:rsidR="008676CA" w:rsidRPr="00BD662F">
        <w:rPr>
          <w:rFonts w:asciiTheme="minorHAnsi" w:hAnsiTheme="minorHAnsi" w:cs="Arial"/>
          <w:sz w:val="22"/>
          <w:szCs w:val="22"/>
        </w:rPr>
        <w:t>t</w:t>
      </w:r>
      <w:r w:rsidR="00FF0CD5" w:rsidRPr="00BD662F">
        <w:rPr>
          <w:rFonts w:asciiTheme="minorHAnsi" w:hAnsiTheme="minorHAnsi" w:cs="Arial"/>
          <w:sz w:val="22"/>
          <w:szCs w:val="22"/>
        </w:rPr>
        <w:t>,</w:t>
      </w:r>
      <w:r w:rsidR="008676CA" w:rsidRPr="00BD662F">
        <w:rPr>
          <w:rFonts w:asciiTheme="minorHAnsi" w:hAnsiTheme="minorHAnsi" w:cs="Arial"/>
          <w:sz w:val="22"/>
          <w:szCs w:val="22"/>
        </w:rPr>
        <w:t xml:space="preserve"> mittetõsis</w:t>
      </w:r>
      <w:r w:rsidRPr="00BD662F">
        <w:rPr>
          <w:rFonts w:asciiTheme="minorHAnsi" w:hAnsiTheme="minorHAnsi" w:cs="Arial"/>
          <w:sz w:val="22"/>
          <w:szCs w:val="22"/>
        </w:rPr>
        <w:t>e</w:t>
      </w:r>
      <w:r w:rsidR="008676CA" w:rsidRPr="00BD662F">
        <w:rPr>
          <w:rFonts w:asciiTheme="minorHAnsi" w:hAnsiTheme="minorHAnsi" w:cs="Arial"/>
          <w:sz w:val="22"/>
          <w:szCs w:val="22"/>
        </w:rPr>
        <w:t>d</w:t>
      </w:r>
      <w:r w:rsidRPr="00BD662F">
        <w:rPr>
          <w:rFonts w:asciiTheme="minorHAnsi" w:hAnsiTheme="minorHAnsi" w:cs="Arial"/>
          <w:sz w:val="22"/>
          <w:szCs w:val="22"/>
        </w:rPr>
        <w:t>)</w:t>
      </w:r>
    </w:p>
    <w:p w14:paraId="41CD6888" w14:textId="77777777" w:rsidR="00F71F04" w:rsidRPr="00BD662F" w:rsidRDefault="00F71F04" w:rsidP="00F71F04">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 xml:space="preserve">vaktsinatsiooni </w:t>
      </w:r>
      <w:r w:rsidR="00FF0CD5" w:rsidRPr="00BD662F">
        <w:rPr>
          <w:rFonts w:asciiTheme="minorHAnsi" w:hAnsiTheme="minorHAnsi" w:cs="Arial"/>
          <w:sz w:val="22"/>
          <w:szCs w:val="22"/>
        </w:rPr>
        <w:t xml:space="preserve">järgselt oksendamine, isutus ja </w:t>
      </w:r>
      <w:r w:rsidR="009D7104" w:rsidRPr="00BD662F">
        <w:rPr>
          <w:rFonts w:asciiTheme="minorHAnsi" w:hAnsiTheme="minorHAnsi" w:cs="Arial"/>
          <w:sz w:val="22"/>
          <w:szCs w:val="22"/>
        </w:rPr>
        <w:t>kerge palavik</w:t>
      </w:r>
      <w:r w:rsidRPr="00BD662F">
        <w:rPr>
          <w:rFonts w:asciiTheme="minorHAnsi" w:hAnsiTheme="minorHAnsi" w:cs="Arial"/>
          <w:sz w:val="22"/>
          <w:szCs w:val="22"/>
        </w:rPr>
        <w:t xml:space="preserve">. </w:t>
      </w:r>
    </w:p>
    <w:p w14:paraId="0030026D" w14:textId="77777777" w:rsidR="008676CA" w:rsidRPr="00BD662F" w:rsidRDefault="008676CA" w:rsidP="00F71F04">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 xml:space="preserve">kõhulahtisus, mis möödus </w:t>
      </w:r>
      <w:r w:rsidR="001C1F5A" w:rsidRPr="00BD662F">
        <w:rPr>
          <w:rFonts w:asciiTheme="minorHAnsi" w:hAnsiTheme="minorHAnsi" w:cs="Arial"/>
          <w:sz w:val="22"/>
          <w:szCs w:val="22"/>
        </w:rPr>
        <w:t xml:space="preserve">koduse </w:t>
      </w:r>
      <w:proofErr w:type="spellStart"/>
      <w:r w:rsidRPr="00BD662F">
        <w:rPr>
          <w:rFonts w:asciiTheme="minorHAnsi" w:hAnsiTheme="minorHAnsi" w:cs="Arial"/>
          <w:sz w:val="22"/>
          <w:szCs w:val="22"/>
        </w:rPr>
        <w:t>probiootikum-raviga</w:t>
      </w:r>
      <w:proofErr w:type="spellEnd"/>
      <w:r w:rsidRPr="00BD662F">
        <w:rPr>
          <w:rFonts w:asciiTheme="minorHAnsi" w:hAnsiTheme="minorHAnsi" w:cs="Arial"/>
          <w:sz w:val="22"/>
          <w:szCs w:val="22"/>
        </w:rPr>
        <w:t>.</w:t>
      </w:r>
    </w:p>
    <w:p w14:paraId="4CD9BAFB" w14:textId="77777777" w:rsidR="008676CA" w:rsidRPr="00BD662F" w:rsidRDefault="008676CA" w:rsidP="008676CA">
      <w:pPr>
        <w:pStyle w:val="NormalWeb"/>
        <w:spacing w:line="336" w:lineRule="auto"/>
        <w:rPr>
          <w:rFonts w:asciiTheme="minorHAnsi" w:hAnsiTheme="minorHAnsi" w:cs="Arial"/>
          <w:sz w:val="22"/>
          <w:szCs w:val="22"/>
        </w:rPr>
      </w:pPr>
      <w:r w:rsidRPr="00BD662F">
        <w:rPr>
          <w:rFonts w:asciiTheme="minorHAnsi" w:hAnsiTheme="minorHAnsi" w:cs="Arial"/>
          <w:sz w:val="22"/>
          <w:szCs w:val="22"/>
          <w:u w:val="single"/>
        </w:rPr>
        <w:t xml:space="preserve">Difteeria, teetanuse, läkaköha, poliomüeliidi, </w:t>
      </w:r>
      <w:proofErr w:type="spellStart"/>
      <w:r w:rsidRPr="00BD662F">
        <w:rPr>
          <w:rFonts w:asciiTheme="minorHAnsi" w:hAnsiTheme="minorHAnsi" w:cs="Arial"/>
          <w:i/>
          <w:sz w:val="22"/>
          <w:szCs w:val="22"/>
          <w:u w:val="single"/>
        </w:rPr>
        <w:t>Haemophilus</w:t>
      </w:r>
      <w:proofErr w:type="spellEnd"/>
      <w:r w:rsidRPr="00BD662F">
        <w:rPr>
          <w:rFonts w:asciiTheme="minorHAnsi" w:hAnsiTheme="minorHAnsi" w:cs="Arial"/>
          <w:i/>
          <w:sz w:val="22"/>
          <w:szCs w:val="22"/>
          <w:u w:val="single"/>
        </w:rPr>
        <w:t xml:space="preserve"> </w:t>
      </w:r>
      <w:proofErr w:type="spellStart"/>
      <w:r w:rsidRPr="00BD662F">
        <w:rPr>
          <w:rFonts w:asciiTheme="minorHAnsi" w:hAnsiTheme="minorHAnsi" w:cs="Arial"/>
          <w:i/>
          <w:sz w:val="22"/>
          <w:szCs w:val="22"/>
          <w:u w:val="single"/>
        </w:rPr>
        <w:t>influenza</w:t>
      </w:r>
      <w:proofErr w:type="spellEnd"/>
      <w:r w:rsidRPr="00BD662F">
        <w:rPr>
          <w:rFonts w:asciiTheme="minorHAnsi" w:hAnsiTheme="minorHAnsi" w:cs="Arial"/>
          <w:i/>
          <w:sz w:val="22"/>
          <w:szCs w:val="22"/>
          <w:u w:val="single"/>
        </w:rPr>
        <w:t xml:space="preserve"> B</w:t>
      </w:r>
      <w:r w:rsidRPr="00BD662F">
        <w:rPr>
          <w:rFonts w:asciiTheme="minorHAnsi" w:hAnsiTheme="minorHAnsi" w:cs="Arial"/>
          <w:sz w:val="22"/>
          <w:szCs w:val="22"/>
          <w:u w:val="single"/>
        </w:rPr>
        <w:t xml:space="preserve"> vaktsiin + B-hepatiidi </w:t>
      </w:r>
      <w:r w:rsidR="001C1F5A" w:rsidRPr="00BD662F">
        <w:rPr>
          <w:rFonts w:asciiTheme="minorHAnsi" w:hAnsiTheme="minorHAnsi" w:cs="Arial"/>
          <w:sz w:val="22"/>
          <w:szCs w:val="22"/>
          <w:u w:val="single"/>
        </w:rPr>
        <w:t>vaktsiin</w:t>
      </w:r>
      <w:r w:rsidRPr="00BD662F">
        <w:rPr>
          <w:rFonts w:asciiTheme="minorHAnsi" w:hAnsiTheme="minorHAnsi" w:cs="Arial"/>
          <w:sz w:val="22"/>
          <w:szCs w:val="22"/>
          <w:u w:val="single"/>
        </w:rPr>
        <w:t xml:space="preserve"> </w:t>
      </w:r>
      <w:r w:rsidRPr="00BD662F">
        <w:rPr>
          <w:rFonts w:asciiTheme="minorHAnsi" w:hAnsiTheme="minorHAnsi" w:cs="Arial"/>
          <w:sz w:val="22"/>
          <w:szCs w:val="22"/>
        </w:rPr>
        <w:t>(1 teatis, mittetõsine)</w:t>
      </w:r>
    </w:p>
    <w:p w14:paraId="57E70F8B" w14:textId="77777777" w:rsidR="008676CA" w:rsidRPr="00BD662F" w:rsidRDefault="009D7104" w:rsidP="008676CA">
      <w:pPr>
        <w:pStyle w:val="NormalWeb"/>
        <w:numPr>
          <w:ilvl w:val="0"/>
          <w:numId w:val="1"/>
        </w:numPr>
        <w:spacing w:line="336" w:lineRule="auto"/>
        <w:rPr>
          <w:rFonts w:asciiTheme="minorHAnsi" w:hAnsiTheme="minorHAnsi" w:cs="Arial"/>
          <w:sz w:val="22"/>
          <w:szCs w:val="22"/>
        </w:rPr>
      </w:pPr>
      <w:r w:rsidRPr="00BD662F">
        <w:rPr>
          <w:rFonts w:asciiTheme="minorHAnsi" w:hAnsiTheme="minorHAnsi" w:cs="Arial"/>
          <w:sz w:val="22"/>
          <w:szCs w:val="22"/>
        </w:rPr>
        <w:t>vaktsinatsioonijärgselt</w:t>
      </w:r>
      <w:r w:rsidR="008676CA" w:rsidRPr="00BD662F">
        <w:rPr>
          <w:rFonts w:asciiTheme="minorHAnsi" w:hAnsiTheme="minorHAnsi" w:cs="Arial"/>
          <w:sz w:val="22"/>
          <w:szCs w:val="22"/>
        </w:rPr>
        <w:t xml:space="preserve"> </w:t>
      </w:r>
      <w:r w:rsidRPr="00BD662F">
        <w:rPr>
          <w:rFonts w:asciiTheme="minorHAnsi" w:hAnsiTheme="minorHAnsi" w:cs="Arial"/>
          <w:sz w:val="22"/>
          <w:szCs w:val="22"/>
        </w:rPr>
        <w:t xml:space="preserve">korduvalt </w:t>
      </w:r>
      <w:r w:rsidR="008676CA" w:rsidRPr="00BD662F">
        <w:rPr>
          <w:rFonts w:asciiTheme="minorHAnsi" w:hAnsiTheme="minorHAnsi" w:cs="Arial"/>
          <w:sz w:val="22"/>
          <w:szCs w:val="22"/>
        </w:rPr>
        <w:t xml:space="preserve">hingeldus, hüsteeriline nutt.    </w:t>
      </w:r>
    </w:p>
    <w:p w14:paraId="564C1FFC" w14:textId="77777777" w:rsidR="00F71F04" w:rsidRPr="00BD662F" w:rsidRDefault="00F71F04" w:rsidP="00F71F04">
      <w:pPr>
        <w:spacing w:before="100" w:beforeAutospacing="1" w:after="100" w:afterAutospacing="1" w:line="336" w:lineRule="auto"/>
        <w:rPr>
          <w:rFonts w:eastAsia="Times New Roman" w:cs="Arial"/>
          <w:lang w:eastAsia="et-EE"/>
        </w:rPr>
      </w:pPr>
      <w:r w:rsidRPr="00BD662F">
        <w:rPr>
          <w:rFonts w:eastAsia="Times New Roman" w:cs="Arial"/>
          <w:u w:val="single"/>
          <w:lang w:eastAsia="et-EE"/>
        </w:rPr>
        <w:t>Leetrite, mumpsi ja punetiste vaktsiin</w:t>
      </w:r>
      <w:r w:rsidRPr="00BD662F">
        <w:rPr>
          <w:rFonts w:eastAsia="Times New Roman" w:cs="Arial"/>
          <w:lang w:eastAsia="et-EE"/>
        </w:rPr>
        <w:t xml:space="preserve"> (1</w:t>
      </w:r>
      <w:r w:rsidR="00D064B9" w:rsidRPr="00BD662F">
        <w:rPr>
          <w:rFonts w:eastAsia="Times New Roman" w:cs="Arial"/>
          <w:lang w:eastAsia="et-EE"/>
        </w:rPr>
        <w:t>2</w:t>
      </w:r>
      <w:r w:rsidRPr="00BD662F">
        <w:rPr>
          <w:rFonts w:eastAsia="Times New Roman" w:cs="Arial"/>
          <w:lang w:eastAsia="et-EE"/>
        </w:rPr>
        <w:t xml:space="preserve"> teatis</w:t>
      </w:r>
      <w:r w:rsidR="00D064B9" w:rsidRPr="00BD662F">
        <w:rPr>
          <w:rFonts w:eastAsia="Times New Roman" w:cs="Arial"/>
          <w:lang w:eastAsia="et-EE"/>
        </w:rPr>
        <w:t>t</w:t>
      </w:r>
      <w:r w:rsidRPr="00BD662F">
        <w:rPr>
          <w:rFonts w:eastAsia="Times New Roman" w:cs="Arial"/>
          <w:lang w:eastAsia="et-EE"/>
        </w:rPr>
        <w:t xml:space="preserve">, </w:t>
      </w:r>
      <w:r w:rsidR="00DB2FA3" w:rsidRPr="00BD662F">
        <w:rPr>
          <w:rFonts w:eastAsia="Times New Roman" w:cs="Arial"/>
          <w:lang w:eastAsia="et-EE"/>
        </w:rPr>
        <w:t>neist</w:t>
      </w:r>
      <w:r w:rsidR="00D064B9" w:rsidRPr="00BD662F">
        <w:rPr>
          <w:rFonts w:eastAsia="Times New Roman" w:cs="Arial"/>
          <w:lang w:eastAsia="et-EE"/>
        </w:rPr>
        <w:t xml:space="preserve"> 1 </w:t>
      </w:r>
      <w:r w:rsidRPr="00BD662F">
        <w:rPr>
          <w:rFonts w:eastAsia="Times New Roman" w:cs="Arial"/>
          <w:lang w:eastAsia="et-EE"/>
        </w:rPr>
        <w:t>tõsine)</w:t>
      </w:r>
    </w:p>
    <w:p w14:paraId="4173F43E" w14:textId="77777777" w:rsidR="00F71F04" w:rsidRPr="00BD662F" w:rsidRDefault="00F71F04" w:rsidP="00F71F04">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1-aastasel </w:t>
      </w:r>
      <w:r w:rsidR="00D064B9" w:rsidRPr="00BD662F">
        <w:rPr>
          <w:rFonts w:eastAsia="Times New Roman" w:cs="Arial"/>
          <w:lang w:eastAsia="et-EE"/>
        </w:rPr>
        <w:t xml:space="preserve">lapsel tekkis palavik ja </w:t>
      </w:r>
      <w:proofErr w:type="spellStart"/>
      <w:r w:rsidR="00D064B9" w:rsidRPr="00BD662F">
        <w:rPr>
          <w:rFonts w:eastAsia="Times New Roman" w:cs="Arial"/>
          <w:lang w:eastAsia="et-EE"/>
        </w:rPr>
        <w:t>multiformne</w:t>
      </w:r>
      <w:proofErr w:type="spellEnd"/>
      <w:r w:rsidR="00D064B9" w:rsidRPr="00BD662F">
        <w:rPr>
          <w:rFonts w:eastAsia="Times New Roman" w:cs="Arial"/>
          <w:lang w:eastAsia="et-EE"/>
        </w:rPr>
        <w:t xml:space="preserve"> </w:t>
      </w:r>
      <w:proofErr w:type="spellStart"/>
      <w:r w:rsidR="00D064B9" w:rsidRPr="00BD662F">
        <w:rPr>
          <w:rFonts w:eastAsia="Times New Roman" w:cs="Arial"/>
          <w:lang w:eastAsia="et-EE"/>
        </w:rPr>
        <w:t>erüteem</w:t>
      </w:r>
      <w:proofErr w:type="spellEnd"/>
      <w:r w:rsidR="00D064B9" w:rsidRPr="00BD662F">
        <w:rPr>
          <w:rFonts w:eastAsia="Times New Roman" w:cs="Arial"/>
          <w:lang w:eastAsia="et-EE"/>
        </w:rPr>
        <w:t xml:space="preserve"> (reaktsioon kuulub meditsiiniliselt oluliste kõrvaltoimete nimekirja). L</w:t>
      </w:r>
      <w:r w:rsidRPr="00BD662F">
        <w:rPr>
          <w:rFonts w:eastAsia="Times New Roman" w:cs="Arial"/>
          <w:lang w:eastAsia="et-EE"/>
        </w:rPr>
        <w:t xml:space="preserve">aps vajas </w:t>
      </w:r>
      <w:r w:rsidR="00D064B9" w:rsidRPr="00BD662F">
        <w:rPr>
          <w:rFonts w:eastAsia="Times New Roman" w:cs="Arial"/>
          <w:lang w:eastAsia="et-EE"/>
        </w:rPr>
        <w:t xml:space="preserve">raviks palavikualandajaid, </w:t>
      </w:r>
      <w:proofErr w:type="spellStart"/>
      <w:r w:rsidR="00D064B9" w:rsidRPr="00BD662F">
        <w:rPr>
          <w:rFonts w:eastAsia="Times New Roman" w:cs="Arial"/>
          <w:lang w:eastAsia="et-EE"/>
        </w:rPr>
        <w:t>antihistamiinikume</w:t>
      </w:r>
      <w:proofErr w:type="spellEnd"/>
      <w:r w:rsidR="00D064B9" w:rsidRPr="00BD662F">
        <w:rPr>
          <w:rFonts w:eastAsia="Times New Roman" w:cs="Arial"/>
          <w:lang w:eastAsia="et-EE"/>
        </w:rPr>
        <w:t xml:space="preserve"> ja hormoonsalvi lokaalselt</w:t>
      </w:r>
      <w:r w:rsidRPr="00BD662F">
        <w:rPr>
          <w:rFonts w:eastAsia="Times New Roman" w:cs="Arial"/>
          <w:lang w:eastAsia="et-EE"/>
        </w:rPr>
        <w:t xml:space="preserve">.  </w:t>
      </w:r>
    </w:p>
    <w:p w14:paraId="186DC55E" w14:textId="5E92DD73" w:rsidR="00D064B9" w:rsidRPr="00BD662F" w:rsidRDefault="00D064B9" w:rsidP="00F71F04">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8 kõrvaltoime teatist on seotud koolis toimunud vaktsineerimis</w:t>
      </w:r>
      <w:r w:rsidR="00020CFE" w:rsidRPr="00BD662F">
        <w:rPr>
          <w:rFonts w:eastAsia="Times New Roman" w:cs="Arial"/>
          <w:lang w:eastAsia="et-EE"/>
        </w:rPr>
        <w:t>järgsete reaktsioonid</w:t>
      </w:r>
      <w:r w:rsidRPr="00BD662F">
        <w:rPr>
          <w:rFonts w:eastAsia="Times New Roman" w:cs="Arial"/>
          <w:lang w:eastAsia="et-EE"/>
        </w:rPr>
        <w:t xml:space="preserve">ega </w:t>
      </w:r>
      <w:r w:rsidR="00020CFE" w:rsidRPr="00BD662F">
        <w:rPr>
          <w:rFonts w:eastAsia="Times New Roman" w:cs="Arial"/>
          <w:lang w:eastAsia="et-EE"/>
        </w:rPr>
        <w:t>13-aastastel</w:t>
      </w:r>
      <w:r w:rsidR="00CC247F" w:rsidRPr="00BD662F">
        <w:rPr>
          <w:rFonts w:eastAsia="Times New Roman" w:cs="Arial"/>
          <w:color w:val="FF0000"/>
          <w:lang w:eastAsia="et-EE"/>
        </w:rPr>
        <w:t xml:space="preserve"> </w:t>
      </w:r>
      <w:r w:rsidR="00CC247F" w:rsidRPr="00BD662F">
        <w:rPr>
          <w:rFonts w:eastAsia="Times New Roman" w:cs="Arial"/>
          <w:lang w:eastAsia="et-EE"/>
        </w:rPr>
        <w:t>lastel</w:t>
      </w:r>
      <w:r w:rsidRPr="00BD662F">
        <w:rPr>
          <w:rFonts w:eastAsia="Times New Roman" w:cs="Arial"/>
          <w:lang w:eastAsia="et-EE"/>
        </w:rPr>
        <w:t xml:space="preserve">. Neist 5 juhul viibisid lapsed ka haiglas jälgimisel, kuid </w:t>
      </w:r>
      <w:r w:rsidR="00647C21" w:rsidRPr="00BD662F">
        <w:rPr>
          <w:rFonts w:eastAsia="Times New Roman" w:cs="Arial"/>
          <w:lang w:eastAsia="et-EE"/>
        </w:rPr>
        <w:t xml:space="preserve">ühelgi juhul ei diagnoositud anafülaktilist šokki ega esinenud </w:t>
      </w:r>
      <w:r w:rsidR="00B85592" w:rsidRPr="00BD662F">
        <w:rPr>
          <w:rFonts w:eastAsia="Times New Roman" w:cs="Arial"/>
          <w:lang w:eastAsia="et-EE"/>
        </w:rPr>
        <w:t xml:space="preserve">reaalselt </w:t>
      </w:r>
      <w:r w:rsidR="00647C21" w:rsidRPr="00BD662F">
        <w:rPr>
          <w:rFonts w:eastAsia="Times New Roman" w:cs="Arial"/>
          <w:lang w:eastAsia="et-EE"/>
        </w:rPr>
        <w:t xml:space="preserve">eluohtlikku seisundit. </w:t>
      </w:r>
      <w:r w:rsidR="00AC2C8E" w:rsidRPr="00BD662F">
        <w:rPr>
          <w:rFonts w:eastAsia="Times New Roman" w:cs="Arial"/>
          <w:lang w:eastAsia="et-EE"/>
        </w:rPr>
        <w:t xml:space="preserve">Pigem </w:t>
      </w:r>
      <w:r w:rsidR="00D764A6" w:rsidRPr="00BD662F">
        <w:rPr>
          <w:rFonts w:eastAsia="Times New Roman" w:cs="Arial"/>
          <w:lang w:eastAsia="et-EE"/>
        </w:rPr>
        <w:t>oli</w:t>
      </w:r>
      <w:r w:rsidR="00AC2C8E" w:rsidRPr="00BD662F">
        <w:rPr>
          <w:rFonts w:eastAsia="Times New Roman" w:cs="Arial"/>
          <w:lang w:eastAsia="et-EE"/>
        </w:rPr>
        <w:t xml:space="preserve"> tegemist vaktsinatsioonile kui protseduurile tekkinud psühhogeense reaktsiooniga. </w:t>
      </w:r>
    </w:p>
    <w:p w14:paraId="46396EA1" w14:textId="77777777" w:rsidR="00647C21" w:rsidRPr="00BD662F" w:rsidRDefault="00647C21" w:rsidP="00F71F04">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3 juhul esines palavik, 2 juhul oli lisaks nahalööve ja ühel juhul 1-aastasel lapsel munandi turse</w:t>
      </w:r>
      <w:r w:rsidR="00B85592" w:rsidRPr="00BD662F">
        <w:rPr>
          <w:rFonts w:eastAsia="Times New Roman" w:cs="Arial"/>
          <w:lang w:eastAsia="et-EE"/>
        </w:rPr>
        <w:t>. Kõik nähud</w:t>
      </w:r>
      <w:r w:rsidRPr="00BD662F">
        <w:rPr>
          <w:rFonts w:eastAsia="Times New Roman" w:cs="Arial"/>
          <w:lang w:eastAsia="et-EE"/>
        </w:rPr>
        <w:t xml:space="preserve"> möödusid </w:t>
      </w:r>
      <w:r w:rsidR="00B85592" w:rsidRPr="00BD662F">
        <w:rPr>
          <w:rFonts w:eastAsia="Times New Roman" w:cs="Arial"/>
          <w:lang w:eastAsia="et-EE"/>
        </w:rPr>
        <w:t xml:space="preserve">ilma </w:t>
      </w:r>
      <w:r w:rsidRPr="00BD662F">
        <w:rPr>
          <w:rFonts w:eastAsia="Times New Roman" w:cs="Arial"/>
          <w:lang w:eastAsia="et-EE"/>
        </w:rPr>
        <w:t xml:space="preserve">spetsiifilise ravita. </w:t>
      </w:r>
    </w:p>
    <w:p w14:paraId="2455FB45" w14:textId="77777777" w:rsidR="004C3CBD" w:rsidRPr="00BD662F" w:rsidRDefault="004C3CBD" w:rsidP="004C3CBD">
      <w:pPr>
        <w:spacing w:before="100" w:beforeAutospacing="1" w:after="100" w:afterAutospacing="1" w:line="336" w:lineRule="auto"/>
        <w:rPr>
          <w:rFonts w:eastAsia="Times New Roman" w:cs="Arial"/>
          <w:lang w:eastAsia="et-EE"/>
        </w:rPr>
      </w:pPr>
      <w:r w:rsidRPr="00BD662F">
        <w:rPr>
          <w:rFonts w:eastAsia="Times New Roman" w:cs="Arial"/>
          <w:u w:val="single"/>
          <w:lang w:eastAsia="et-EE"/>
        </w:rPr>
        <w:t>Teetanuse vaktsiin, adsorbeeritud difteeria vaktsiin</w:t>
      </w:r>
      <w:r w:rsidRPr="00BD662F">
        <w:rPr>
          <w:rFonts w:eastAsia="Times New Roman" w:cs="Arial"/>
          <w:lang w:eastAsia="et-EE"/>
        </w:rPr>
        <w:t xml:space="preserve"> (2 teatist, mittetõsised) </w:t>
      </w:r>
    </w:p>
    <w:p w14:paraId="1195454F" w14:textId="77777777" w:rsidR="004C3CBD" w:rsidRPr="00BD662F" w:rsidRDefault="004C3CBD" w:rsidP="004C3CBD">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süstekoha reaktsioonid, ühel juhul lisaks peavalu, loidus ja nõrkus ning teisel juhul üldine halb enesetunne ja silmade valulikkus.  </w:t>
      </w:r>
    </w:p>
    <w:p w14:paraId="2690A6DE" w14:textId="77777777" w:rsidR="00020CFE" w:rsidRPr="00BD662F" w:rsidRDefault="00020CFE" w:rsidP="00020CFE">
      <w:pPr>
        <w:spacing w:before="100" w:beforeAutospacing="1" w:after="100" w:afterAutospacing="1" w:line="336" w:lineRule="auto"/>
        <w:rPr>
          <w:rFonts w:eastAsia="Times New Roman" w:cs="Arial"/>
          <w:b/>
          <w:lang w:eastAsia="et-EE"/>
        </w:rPr>
      </w:pPr>
      <w:r w:rsidRPr="00BD662F">
        <w:rPr>
          <w:rFonts w:eastAsia="Times New Roman" w:cs="Arial"/>
          <w:b/>
          <w:lang w:eastAsia="et-EE"/>
        </w:rPr>
        <w:lastRenderedPageBreak/>
        <w:t>Muud vaktsiinid</w:t>
      </w:r>
    </w:p>
    <w:p w14:paraId="165E4AD9" w14:textId="77777777" w:rsidR="00020CFE" w:rsidRPr="00BD662F" w:rsidRDefault="00020CFE" w:rsidP="00020CFE">
      <w:pPr>
        <w:spacing w:before="100" w:beforeAutospacing="1" w:after="100" w:afterAutospacing="1" w:line="336" w:lineRule="auto"/>
        <w:rPr>
          <w:rFonts w:eastAsia="Times New Roman" w:cs="Arial"/>
          <w:lang w:eastAsia="et-EE"/>
        </w:rPr>
      </w:pPr>
      <w:r w:rsidRPr="00BD662F">
        <w:rPr>
          <w:rFonts w:eastAsia="Times New Roman" w:cs="Arial"/>
          <w:u w:val="single"/>
          <w:lang w:eastAsia="et-EE"/>
        </w:rPr>
        <w:t>Gripivaktsiin (5</w:t>
      </w:r>
      <w:r w:rsidRPr="00BD662F">
        <w:rPr>
          <w:rFonts w:eastAsia="Times New Roman" w:cs="Arial"/>
          <w:lang w:eastAsia="et-EE"/>
        </w:rPr>
        <w:t xml:space="preserve"> teatist, neist 2 tõsise</w:t>
      </w:r>
      <w:r w:rsidR="00DB2FA3" w:rsidRPr="00BD662F">
        <w:rPr>
          <w:rFonts w:eastAsia="Times New Roman" w:cs="Arial"/>
          <w:lang w:eastAsia="et-EE"/>
        </w:rPr>
        <w:t>d</w:t>
      </w:r>
      <w:r w:rsidRPr="00BD662F">
        <w:rPr>
          <w:rFonts w:eastAsia="Times New Roman" w:cs="Arial"/>
          <w:lang w:eastAsia="et-EE"/>
        </w:rPr>
        <w:t>)</w:t>
      </w:r>
    </w:p>
    <w:p w14:paraId="3A6A2326" w14:textId="77777777" w:rsidR="00020CFE" w:rsidRPr="00BD662F" w:rsidRDefault="00020CFE" w:rsidP="00020CFE">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2 juhul teavitati vaktsineerimise ebaefektiivsusest (neist ühel juhul diagnoositi laboratoorselt A-gripp; teise juhu kohta info laboratoorse uuringu kohta puudub, tegemist on müügiloa hoidja kaudu edastatud patsiendi teatisega, mis on meditsiinilise kinnituseta). Mõlemad juhud hinnati tõsisteks.  </w:t>
      </w:r>
    </w:p>
    <w:p w14:paraId="14D34B1D" w14:textId="77777777" w:rsidR="00020CFE" w:rsidRPr="00BD662F" w:rsidRDefault="00020CFE" w:rsidP="00020CFE">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patsiendi teatis - vaktsineerimise järgselt köha, kurgu-, pea- ja lihasvalu, nohu, palavik, iiveldus, pearinglus ja kõhulahtisus. Tekkinud reaktsioonide seost vaktsineerimisega ei saa täielikult välistada, kuid kaasuvate haiguste (antibiootikumravi ebaselge infektsiooni raviks, migreen) tõttu ei saa seost täpsemalt hinnata.  </w:t>
      </w:r>
    </w:p>
    <w:p w14:paraId="08F55701" w14:textId="77777777" w:rsidR="00020CFE" w:rsidRPr="00BD662F" w:rsidRDefault="00020CFE" w:rsidP="00020CFE">
      <w:pPr>
        <w:pStyle w:val="ListParagraph"/>
        <w:numPr>
          <w:ilvl w:val="0"/>
          <w:numId w:val="1"/>
        </w:numPr>
        <w:spacing w:before="100" w:beforeAutospacing="1" w:after="100" w:afterAutospacing="1" w:line="336" w:lineRule="auto"/>
        <w:rPr>
          <w:rFonts w:eastAsia="Times New Roman" w:cs="Arial"/>
          <w:lang w:eastAsia="et-EE"/>
        </w:rPr>
      </w:pPr>
      <w:r w:rsidRPr="00BD662F">
        <w:rPr>
          <w:rFonts w:eastAsia="Times New Roman" w:cs="Arial"/>
          <w:lang w:eastAsia="et-EE"/>
        </w:rPr>
        <w:t xml:space="preserve">mittetõsistest reaktsioonidest esines ühel juhul palavik ja teisel juhul süstekoha reaktsioon. </w:t>
      </w:r>
    </w:p>
    <w:p w14:paraId="47176F12" w14:textId="77777777" w:rsidR="00662E56" w:rsidRPr="00BD662F" w:rsidRDefault="00662E56" w:rsidP="00662E56">
      <w:pPr>
        <w:pStyle w:val="NormalWeb"/>
        <w:spacing w:line="336" w:lineRule="auto"/>
        <w:rPr>
          <w:rFonts w:asciiTheme="minorHAnsi" w:hAnsiTheme="minorHAnsi" w:cs="Arial"/>
          <w:sz w:val="22"/>
          <w:szCs w:val="22"/>
          <w:u w:val="single"/>
        </w:rPr>
      </w:pPr>
      <w:r w:rsidRPr="00BD662F">
        <w:rPr>
          <w:rFonts w:asciiTheme="minorHAnsi" w:hAnsiTheme="minorHAnsi" w:cs="Arial"/>
          <w:sz w:val="22"/>
          <w:szCs w:val="22"/>
          <w:u w:val="single"/>
        </w:rPr>
        <w:t>Puukentsefaliidi inaktiveeritud koguviirus (2 teatist, mittetõsised):</w:t>
      </w:r>
    </w:p>
    <w:p w14:paraId="690CD7BC" w14:textId="77777777" w:rsidR="00F71F04" w:rsidRPr="00BD662F" w:rsidRDefault="00662E56" w:rsidP="00662E56">
      <w:pPr>
        <w:pStyle w:val="ListParagraph"/>
        <w:numPr>
          <w:ilvl w:val="0"/>
          <w:numId w:val="1"/>
        </w:numPr>
        <w:spacing w:before="100" w:beforeAutospacing="1" w:after="100" w:afterAutospacing="1" w:line="336" w:lineRule="auto"/>
        <w:rPr>
          <w:rFonts w:eastAsia="Times New Roman" w:cs="Arial"/>
          <w:lang w:eastAsia="et-EE"/>
        </w:rPr>
      </w:pPr>
      <w:r w:rsidRPr="00BD662F">
        <w:rPr>
          <w:rFonts w:cs="Arial"/>
        </w:rPr>
        <w:t>süstekoha reaktsioon</w:t>
      </w:r>
      <w:r w:rsidR="00020CFE" w:rsidRPr="00BD662F">
        <w:rPr>
          <w:rFonts w:cs="Arial"/>
        </w:rPr>
        <w:t>id,</w:t>
      </w:r>
      <w:r w:rsidRPr="00BD662F">
        <w:rPr>
          <w:rFonts w:cs="Arial"/>
        </w:rPr>
        <w:t xml:space="preserve"> üldnähud (</w:t>
      </w:r>
      <w:r w:rsidR="00020CFE" w:rsidRPr="00BD662F">
        <w:rPr>
          <w:rFonts w:cs="Arial"/>
        </w:rPr>
        <w:t>kerge palavik</w:t>
      </w:r>
      <w:r w:rsidRPr="00BD662F">
        <w:rPr>
          <w:rFonts w:cs="Arial"/>
        </w:rPr>
        <w:t xml:space="preserve">, üldine nõrkus ja jõuetus, lihasvalud).   </w:t>
      </w:r>
    </w:p>
    <w:p w14:paraId="2CBD2B1A" w14:textId="77777777" w:rsidR="00DB2FA3" w:rsidRPr="00BD662F" w:rsidRDefault="00DB2FA3" w:rsidP="00DB2FA3">
      <w:pPr>
        <w:keepNext/>
        <w:keepLines/>
        <w:spacing w:before="480" w:after="0"/>
        <w:outlineLvl w:val="0"/>
        <w:rPr>
          <w:rFonts w:eastAsia="Calibri" w:cs="Times New Roman"/>
          <w:b/>
          <w:bCs/>
          <w:color w:val="365F91"/>
        </w:rPr>
      </w:pPr>
      <w:r w:rsidRPr="00BD662F">
        <w:rPr>
          <w:rFonts w:eastAsia="Calibri" w:cs="Times New Roman"/>
          <w:b/>
          <w:bCs/>
          <w:color w:val="365F91"/>
        </w:rPr>
        <w:t>Kõrvaltoime teatised patsientidelt</w:t>
      </w:r>
    </w:p>
    <w:p w14:paraId="702B5C2F" w14:textId="77777777" w:rsidR="004C3CBD" w:rsidRDefault="004C3CBD" w:rsidP="004C3CBD">
      <w:pPr>
        <w:rPr>
          <w:rFonts w:eastAsia="Calibri" w:cs="Times New Roman"/>
        </w:rPr>
      </w:pPr>
      <w:r>
        <w:rPr>
          <w:noProof/>
          <w:lang w:eastAsia="et-EE"/>
        </w:rPr>
        <w:drawing>
          <wp:inline distT="0" distB="0" distL="0" distR="0" wp14:anchorId="759A5840" wp14:editId="3D387920">
            <wp:extent cx="5017477" cy="2993293"/>
            <wp:effectExtent l="0" t="0" r="1206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7C6BD0" w14:textId="77A1E342" w:rsidR="004C3CBD" w:rsidRDefault="004C3CBD" w:rsidP="004C3CBD">
      <w:pPr>
        <w:spacing w:before="100" w:beforeAutospacing="1" w:after="100" w:afterAutospacing="1" w:line="336" w:lineRule="auto"/>
        <w:rPr>
          <w:rFonts w:eastAsia="Calibri" w:cs="Times New Roman"/>
          <w:bCs/>
        </w:rPr>
      </w:pPr>
      <w:r>
        <w:rPr>
          <w:rFonts w:eastAsia="Calibri" w:cs="Times New Roman"/>
          <w:bCs/>
        </w:rPr>
        <w:t>Patsiendi teatiste arv on aasta-aastalt suurenenud - 2015.</w:t>
      </w:r>
      <w:r w:rsidR="00CC247F">
        <w:rPr>
          <w:rFonts w:eastAsia="Calibri" w:cs="Times New Roman"/>
          <w:bCs/>
        </w:rPr>
        <w:t xml:space="preserve"> </w:t>
      </w:r>
      <w:r>
        <w:rPr>
          <w:rFonts w:eastAsia="Calibri" w:cs="Times New Roman"/>
          <w:bCs/>
        </w:rPr>
        <w:t>a edastati 48 teatist.</w:t>
      </w:r>
    </w:p>
    <w:p w14:paraId="2240E467" w14:textId="77777777" w:rsidR="004C3CBD" w:rsidRPr="00832F2E" w:rsidRDefault="004C3CBD" w:rsidP="004C3CBD">
      <w:pPr>
        <w:spacing w:before="100" w:beforeAutospacing="1" w:after="100" w:afterAutospacing="1" w:line="336" w:lineRule="auto"/>
        <w:rPr>
          <w:rFonts w:eastAsia="Calibri" w:cs="Times New Roman"/>
          <w:bCs/>
        </w:rPr>
      </w:pPr>
      <w:r>
        <w:rPr>
          <w:rFonts w:eastAsia="Calibri" w:cs="Times New Roman"/>
          <w:bCs/>
        </w:rPr>
        <w:t xml:space="preserve">Patsiendid edastasid otse Ravimiametile 35 teatist, neist 24 teatist patsientide poolt neil endil ilmnenud kõrvaltoimetest ja 11 teatist lapsevanemate/sugulaste poolt lapsel/lähedasel ilmnenud kõrvaltoimetest. Ühel juhul edastas </w:t>
      </w:r>
      <w:r w:rsidRPr="00E1667A">
        <w:rPr>
          <w:rFonts w:eastAsia="Calibri" w:cs="Times New Roman"/>
          <w:bCs/>
        </w:rPr>
        <w:t xml:space="preserve">patsient </w:t>
      </w:r>
      <w:r>
        <w:rPr>
          <w:rFonts w:eastAsia="Calibri" w:cs="Times New Roman"/>
          <w:bCs/>
        </w:rPr>
        <w:t xml:space="preserve">teatise </w:t>
      </w:r>
      <w:r w:rsidRPr="00E1667A">
        <w:rPr>
          <w:rFonts w:eastAsia="Calibri" w:cs="Times New Roman"/>
          <w:bCs/>
        </w:rPr>
        <w:t>proviisori abiga</w:t>
      </w:r>
      <w:r>
        <w:rPr>
          <w:rFonts w:eastAsia="Calibri" w:cs="Times New Roman"/>
          <w:bCs/>
        </w:rPr>
        <w:t xml:space="preserve"> (m</w:t>
      </w:r>
      <w:r w:rsidRPr="00E1667A">
        <w:rPr>
          <w:rFonts w:eastAsia="Calibri" w:cs="Times New Roman"/>
          <w:bCs/>
        </w:rPr>
        <w:t xml:space="preserve">õnel juhul võis </w:t>
      </w:r>
      <w:r>
        <w:rPr>
          <w:rFonts w:eastAsia="Calibri" w:cs="Times New Roman"/>
          <w:bCs/>
        </w:rPr>
        <w:t xml:space="preserve">proviisor </w:t>
      </w:r>
      <w:r w:rsidRPr="00832F2E">
        <w:rPr>
          <w:rFonts w:eastAsia="Calibri" w:cs="Times New Roman"/>
          <w:bCs/>
        </w:rPr>
        <w:t xml:space="preserve">kõrvaltoimest teatamisel abiks olla ilma seda teatisele märkimata).  </w:t>
      </w:r>
    </w:p>
    <w:p w14:paraId="2E871517" w14:textId="77777777" w:rsidR="004C3CBD" w:rsidRDefault="004C3CBD" w:rsidP="004C3CBD">
      <w:pPr>
        <w:spacing w:before="100" w:beforeAutospacing="1" w:after="100" w:afterAutospacing="1" w:line="336" w:lineRule="auto"/>
        <w:rPr>
          <w:rFonts w:eastAsia="Calibri" w:cs="Times New Roman"/>
          <w:bCs/>
        </w:rPr>
      </w:pPr>
      <w:r w:rsidRPr="00832F2E">
        <w:rPr>
          <w:rFonts w:eastAsia="Calibri" w:cs="Times New Roman"/>
          <w:bCs/>
        </w:rPr>
        <w:lastRenderedPageBreak/>
        <w:t>35 teati</w:t>
      </w:r>
      <w:bookmarkStart w:id="2" w:name="_GoBack"/>
      <w:bookmarkEnd w:id="2"/>
      <w:r w:rsidRPr="00832F2E">
        <w:rPr>
          <w:rFonts w:eastAsia="Calibri" w:cs="Times New Roman"/>
          <w:bCs/>
        </w:rPr>
        <w:t xml:space="preserve">sest </w:t>
      </w:r>
      <w:r>
        <w:rPr>
          <w:rFonts w:eastAsia="Calibri" w:cs="Times New Roman"/>
          <w:bCs/>
        </w:rPr>
        <w:t>neljas</w:t>
      </w:r>
      <w:r w:rsidRPr="00832F2E">
        <w:rPr>
          <w:rFonts w:eastAsia="Calibri" w:cs="Times New Roman"/>
          <w:bCs/>
        </w:rPr>
        <w:t xml:space="preserve"> kirjeldati </w:t>
      </w:r>
      <w:r w:rsidRPr="00F36C40">
        <w:rPr>
          <w:rFonts w:eastAsia="Calibri" w:cs="Times New Roman"/>
          <w:b/>
          <w:bCs/>
        </w:rPr>
        <w:t>tõsist</w:t>
      </w:r>
      <w:r w:rsidRPr="00832F2E">
        <w:rPr>
          <w:rFonts w:eastAsia="Calibri" w:cs="Times New Roman"/>
          <w:bCs/>
        </w:rPr>
        <w:t xml:space="preserve"> kõrvaltoimet. </w:t>
      </w:r>
      <w:r>
        <w:rPr>
          <w:rFonts w:eastAsia="Calibri" w:cs="Times New Roman"/>
          <w:bCs/>
        </w:rPr>
        <w:t>Kahel juhul ei olnud teatist võimalik hinnata andmete vähesuse tõttu. Meditsiinilise kinnituse saime arstilt kahel juhul ning neist ühe puhul on seos ravimi ja reaktsiooni puhul tõenäoline (</w:t>
      </w:r>
      <w:proofErr w:type="spellStart"/>
      <w:r>
        <w:rPr>
          <w:rFonts w:eastAsia="Calibri" w:cs="Times New Roman"/>
          <w:bCs/>
        </w:rPr>
        <w:t>intrauteriinse</w:t>
      </w:r>
      <w:proofErr w:type="spellEnd"/>
      <w:r>
        <w:rPr>
          <w:rFonts w:eastAsia="Calibri" w:cs="Times New Roman"/>
          <w:bCs/>
        </w:rPr>
        <w:t xml:space="preserve"> hormonaalse rasestumisvastase vahendi kasutamisel tekkis munasarja tsüst ja äge kõhuvalu; rasestumisvastane vahend eemaldati).</w:t>
      </w:r>
    </w:p>
    <w:p w14:paraId="0F40ECC0" w14:textId="77777777" w:rsidR="004C3CBD" w:rsidRPr="00832F2E" w:rsidRDefault="004C3CBD" w:rsidP="004C3CBD">
      <w:pPr>
        <w:spacing w:before="100" w:beforeAutospacing="1" w:after="100" w:afterAutospacing="1" w:line="336" w:lineRule="auto"/>
        <w:rPr>
          <w:rFonts w:eastAsia="Calibri" w:cs="Times New Roman"/>
          <w:bCs/>
        </w:rPr>
      </w:pPr>
      <w:r w:rsidRPr="00832F2E">
        <w:rPr>
          <w:rFonts w:eastAsia="Calibri" w:cs="Times New Roman"/>
          <w:bCs/>
        </w:rPr>
        <w:t xml:space="preserve">13 juhul saime arstilt </w:t>
      </w:r>
      <w:r w:rsidRPr="00F36C40">
        <w:rPr>
          <w:rFonts w:eastAsia="Calibri" w:cs="Times New Roman"/>
          <w:b/>
          <w:bCs/>
        </w:rPr>
        <w:t>meditsiinilise kinnituse</w:t>
      </w:r>
      <w:r w:rsidRPr="00832F2E">
        <w:rPr>
          <w:rFonts w:eastAsia="Calibri" w:cs="Times New Roman"/>
          <w:bCs/>
        </w:rPr>
        <w:t>, neist kahel juhul hindasime kõrvaltoime ravimiga mitteseotuks. 22 teatist jäid meditsiinilise kinnituseta</w:t>
      </w:r>
      <w:r>
        <w:rPr>
          <w:rFonts w:eastAsia="Calibri" w:cs="Times New Roman"/>
          <w:bCs/>
        </w:rPr>
        <w:t xml:space="preserve"> järgmistel põhjustel: </w:t>
      </w:r>
      <w:r w:rsidRPr="00832F2E">
        <w:rPr>
          <w:rFonts w:eastAsia="Calibri" w:cs="Times New Roman"/>
          <w:bCs/>
        </w:rPr>
        <w:t>patsient ei andnud nõusolekut arstiga ühendust võtta</w:t>
      </w:r>
      <w:r>
        <w:rPr>
          <w:rFonts w:eastAsia="Calibri" w:cs="Times New Roman"/>
          <w:bCs/>
        </w:rPr>
        <w:t xml:space="preserve">, </w:t>
      </w:r>
      <w:r w:rsidRPr="00832F2E">
        <w:rPr>
          <w:rFonts w:eastAsia="Calibri" w:cs="Times New Roman"/>
          <w:bCs/>
        </w:rPr>
        <w:t xml:space="preserve"> ei </w:t>
      </w:r>
      <w:r>
        <w:rPr>
          <w:rFonts w:eastAsia="Calibri" w:cs="Times New Roman"/>
          <w:bCs/>
        </w:rPr>
        <w:t xml:space="preserve">saanud arstiga ühendust, </w:t>
      </w:r>
      <w:r w:rsidRPr="00832F2E">
        <w:rPr>
          <w:rFonts w:eastAsia="Calibri" w:cs="Times New Roman"/>
          <w:bCs/>
        </w:rPr>
        <w:t xml:space="preserve"> arst ei kinnitanud reaktsiooni olemasolu (patsient ei pöördunud arsti poole) või arst välistas seose ravimiga (arvestades patsiendi haiguste anamneesi ja teisi kasutatud ravimeid). </w:t>
      </w:r>
    </w:p>
    <w:p w14:paraId="48C7299D" w14:textId="77777777" w:rsidR="004C3CBD" w:rsidRDefault="004C3CBD" w:rsidP="004C3CBD">
      <w:pPr>
        <w:spacing w:before="100" w:beforeAutospacing="1" w:after="100" w:afterAutospacing="1" w:line="336" w:lineRule="auto"/>
        <w:rPr>
          <w:rFonts w:eastAsia="Calibri" w:cs="Times New Roman"/>
          <w:bCs/>
        </w:rPr>
      </w:pPr>
      <w:r w:rsidRPr="00832F2E">
        <w:rPr>
          <w:rFonts w:eastAsia="Calibri" w:cs="Times New Roman"/>
          <w:bCs/>
        </w:rPr>
        <w:t>Müügiloa hoidjale edastas teatise 13 patsienti. Kõik müügiloa hoidjale edastatud patsiendi teatised</w:t>
      </w:r>
      <w:r>
        <w:rPr>
          <w:rFonts w:eastAsia="Calibri" w:cs="Times New Roman"/>
          <w:bCs/>
        </w:rPr>
        <w:t xml:space="preserve"> olid tõsised, kuid ilma arsti meditsiinilise kinnituseta. 5 teatist oli puudulike andmetega ning seost reaktsiooni ja ravimi vahel ei olnud võimalik hinnata, 2 teatise puhul hinnati seos ravimi ja reaktsiooni vahel ebatõenäoliseks. </w:t>
      </w:r>
    </w:p>
    <w:p w14:paraId="1B9437CA" w14:textId="77777777" w:rsidR="004C3CBD" w:rsidRDefault="004C3CBD" w:rsidP="004C3CBD">
      <w:pPr>
        <w:spacing w:before="100" w:beforeAutospacing="1" w:after="100" w:afterAutospacing="1" w:line="336" w:lineRule="auto"/>
        <w:rPr>
          <w:rFonts w:eastAsia="Calibri" w:cs="Times New Roman"/>
          <w:bCs/>
        </w:rPr>
      </w:pPr>
      <w:r w:rsidRPr="00832F2E">
        <w:rPr>
          <w:rFonts w:eastAsia="Calibri" w:cs="Times New Roman"/>
          <w:bCs/>
        </w:rPr>
        <w:t>Kõige sagedamini teatasid pats</w:t>
      </w:r>
      <w:r>
        <w:rPr>
          <w:rFonts w:eastAsia="Calibri" w:cs="Times New Roman"/>
          <w:bCs/>
        </w:rPr>
        <w:t>i</w:t>
      </w:r>
      <w:r w:rsidRPr="00832F2E">
        <w:rPr>
          <w:rFonts w:eastAsia="Calibri" w:cs="Times New Roman"/>
          <w:bCs/>
        </w:rPr>
        <w:t xml:space="preserve">endid </w:t>
      </w:r>
      <w:r>
        <w:rPr>
          <w:rFonts w:eastAsia="Calibri" w:cs="Times New Roman"/>
          <w:bCs/>
        </w:rPr>
        <w:t>vaktsiinide kasutamise järgselt ilmnenud reaktsioonidest (11 teatist) – palavik, süstekoha reaktsioonid, süsteemsed reaktsioonid (peavalu, kõhulahtisus, hingeldus, hüsteeriline nutt, loidus, nõrkus või viirusinfektsioon). Kõik teatatud reaktsioonid olid klassifikatsiooni järgi mittetõsised, kuigi patsientidele võisid need tunduda ebameeldivate ja tõsistena.</w:t>
      </w:r>
    </w:p>
    <w:p w14:paraId="202D0C5D" w14:textId="24347065" w:rsidR="004C3CBD" w:rsidRPr="00D16083" w:rsidRDefault="004C3CBD" w:rsidP="00BD662F">
      <w:pPr>
        <w:spacing w:before="100" w:beforeAutospacing="1" w:after="100" w:afterAutospacing="1" w:line="336" w:lineRule="auto"/>
        <w:rPr>
          <w:rFonts w:eastAsia="Calibri" w:cs="Times New Roman"/>
          <w:bCs/>
        </w:rPr>
      </w:pPr>
      <w:r>
        <w:rPr>
          <w:rFonts w:eastAsia="Calibri" w:cs="Times New Roman"/>
          <w:bCs/>
        </w:rPr>
        <w:t>Patsiendi saadetud kõrvaltoime teatisest on rohkem kasu siis, kui Ravimiamet saab küsida raviarstilt lisaandmeid ja meditsiinilist kinnitust,</w:t>
      </w:r>
      <w:r w:rsidRPr="004F7A28">
        <w:rPr>
          <w:rFonts w:eastAsia="Calibri" w:cs="Times New Roman"/>
          <w:bCs/>
        </w:rPr>
        <w:t xml:space="preserve"> </w:t>
      </w:r>
      <w:r>
        <w:rPr>
          <w:rFonts w:eastAsia="Calibri" w:cs="Times New Roman"/>
          <w:bCs/>
        </w:rPr>
        <w:t>mis aitavad paremini hinnata võimaliku kõrvaltoime ja ravimi vahelist seost. Selleks peavad patsiendid lubama Ravimiametil arstiga ühendust võtta</w:t>
      </w:r>
      <w:r w:rsidR="007172D7">
        <w:rPr>
          <w:rFonts w:eastAsia="Calibri" w:cs="Times New Roman"/>
          <w:bCs/>
        </w:rPr>
        <w:t>.</w:t>
      </w:r>
      <w:r>
        <w:rPr>
          <w:rFonts w:eastAsia="Calibri" w:cs="Times New Roman"/>
          <w:bCs/>
        </w:rPr>
        <w:t xml:space="preserve"> Häirivast kõrvaltoimest peab arstile rääkima, sest kõrvaltoime võib vajada ravi, ravimi annus vähendamist või ravim teisega asendamist. Tekkinud</w:t>
      </w:r>
      <w:r w:rsidRPr="0033226D">
        <w:rPr>
          <w:rFonts w:eastAsia="Calibri" w:cs="Times New Roman"/>
          <w:bCs/>
        </w:rPr>
        <w:t xml:space="preserve"> reaktsioon</w:t>
      </w:r>
      <w:r>
        <w:rPr>
          <w:rFonts w:eastAsia="Calibri" w:cs="Times New Roman"/>
          <w:bCs/>
        </w:rPr>
        <w:t xml:space="preserve"> võib</w:t>
      </w:r>
      <w:r w:rsidRPr="0033226D">
        <w:rPr>
          <w:rFonts w:eastAsia="Calibri" w:cs="Times New Roman"/>
          <w:bCs/>
        </w:rPr>
        <w:t xml:space="preserve"> olla  uus haigusseisund</w:t>
      </w:r>
      <w:r w:rsidR="007172D7">
        <w:rPr>
          <w:rFonts w:eastAsia="Calibri" w:cs="Times New Roman"/>
          <w:bCs/>
        </w:rPr>
        <w:t>,</w:t>
      </w:r>
      <w:r>
        <w:rPr>
          <w:rFonts w:eastAsia="Calibri" w:cs="Times New Roman"/>
          <w:bCs/>
        </w:rPr>
        <w:t xml:space="preserve">  mis võib omakorda vajada (teistsugust) ravi</w:t>
      </w:r>
      <w:r w:rsidRPr="0033226D">
        <w:rPr>
          <w:rFonts w:eastAsia="Calibri" w:cs="Times New Roman"/>
          <w:bCs/>
        </w:rPr>
        <w:t>.</w:t>
      </w:r>
      <w:r>
        <w:rPr>
          <w:rFonts w:eastAsia="Calibri" w:cs="Times New Roman"/>
          <w:bCs/>
        </w:rPr>
        <w:t xml:space="preserve"> </w:t>
      </w:r>
      <w:r w:rsidRPr="0033226D">
        <w:rPr>
          <w:rFonts w:eastAsia="Calibri" w:cs="Times New Roman"/>
          <w:bCs/>
        </w:rPr>
        <w:t>Patsien</w:t>
      </w:r>
      <w:r>
        <w:rPr>
          <w:rFonts w:eastAsia="Calibri" w:cs="Times New Roman"/>
          <w:bCs/>
        </w:rPr>
        <w:t xml:space="preserve">dil on seda raske endal </w:t>
      </w:r>
      <w:r w:rsidRPr="0033226D">
        <w:rPr>
          <w:rFonts w:eastAsia="Calibri" w:cs="Times New Roman"/>
          <w:bCs/>
        </w:rPr>
        <w:t>hinnata</w:t>
      </w:r>
      <w:r>
        <w:rPr>
          <w:rFonts w:eastAsia="Calibri" w:cs="Times New Roman"/>
          <w:bCs/>
        </w:rPr>
        <w:t>. Omaalgatuslikku ravi katkestamist või annuse vähendamist tuleb vältida, sest nii võib põhihaigus süvendada.</w:t>
      </w:r>
    </w:p>
    <w:p w14:paraId="7B40064D" w14:textId="77777777" w:rsidR="00F71F04" w:rsidRPr="008500AB" w:rsidRDefault="00F71F04" w:rsidP="00F71F04">
      <w:pPr>
        <w:keepNext/>
        <w:keepLines/>
        <w:spacing w:before="480" w:after="0"/>
        <w:outlineLvl w:val="0"/>
        <w:rPr>
          <w:rFonts w:eastAsia="Times New Roman" w:cs="Times New Roman"/>
          <w:color w:val="365F91"/>
          <w:sz w:val="28"/>
          <w:szCs w:val="28"/>
        </w:rPr>
      </w:pPr>
      <w:r w:rsidRPr="008500AB">
        <w:rPr>
          <w:rFonts w:eastAsia="Times New Roman" w:cs="Times New Roman"/>
          <w:b/>
          <w:bCs/>
          <w:color w:val="365F91"/>
          <w:sz w:val="28"/>
          <w:szCs w:val="28"/>
        </w:rPr>
        <w:t>Kõrvaltoimete oodatav teatamise sagedus</w:t>
      </w:r>
    </w:p>
    <w:p w14:paraId="623EB2DA" w14:textId="77777777" w:rsidR="004C3CBD" w:rsidRPr="00BD662F" w:rsidRDefault="00F71F04" w:rsidP="00F71F04">
      <w:pPr>
        <w:spacing w:before="100" w:beforeAutospacing="1" w:after="100" w:afterAutospacing="1" w:line="336" w:lineRule="auto"/>
        <w:rPr>
          <w:rFonts w:eastAsia="Calibri" w:cs="Times New Roman"/>
          <w:bCs/>
        </w:rPr>
      </w:pPr>
      <w:r w:rsidRPr="00BD662F">
        <w:rPr>
          <w:rFonts w:eastAsia="Calibri" w:cs="Times New Roman"/>
          <w:bCs/>
        </w:rPr>
        <w:t>Seniteadmata kõrvaltoimete õigeaegseks avastamiseks tuleks rahvusvahelise kogemuse põhjal saada iga-aastaselt 200 kõrvaltoime teatist 1 miljoni elaniku kohta, neist 30% või enam peaksid olema võimaliku tõsise kõrvaltoime kohta ning enam kui 10% arstidest peaks teatama vähemalt ühest kõrvaltoimest.</w:t>
      </w:r>
    </w:p>
    <w:p w14:paraId="7C1802F7" w14:textId="03F8C878" w:rsidR="00F71F04" w:rsidRPr="00BD662F" w:rsidRDefault="00F71F04" w:rsidP="00F71F04">
      <w:pPr>
        <w:spacing w:before="100" w:beforeAutospacing="1" w:after="100" w:afterAutospacing="1" w:line="336" w:lineRule="auto"/>
        <w:rPr>
          <w:rFonts w:eastAsia="Calibri" w:cs="Times New Roman"/>
          <w:bCs/>
        </w:rPr>
      </w:pPr>
      <w:r w:rsidRPr="00BD662F">
        <w:rPr>
          <w:rFonts w:eastAsia="Calibri" w:cs="Times New Roman"/>
          <w:bCs/>
        </w:rPr>
        <w:lastRenderedPageBreak/>
        <w:t>201</w:t>
      </w:r>
      <w:r w:rsidR="00B85592" w:rsidRPr="00BD662F">
        <w:rPr>
          <w:rFonts w:eastAsia="Calibri" w:cs="Times New Roman"/>
          <w:bCs/>
        </w:rPr>
        <w:t>5</w:t>
      </w:r>
      <w:r w:rsidRPr="00BD662F">
        <w:rPr>
          <w:rFonts w:eastAsia="Calibri" w:cs="Times New Roman"/>
          <w:bCs/>
        </w:rPr>
        <w:t>. aastal oli Eesti kõrvaltoime teatiste arv keskmiselt 1</w:t>
      </w:r>
      <w:r w:rsidR="00C96EDE" w:rsidRPr="00BD662F">
        <w:rPr>
          <w:rFonts w:eastAsia="Calibri" w:cs="Times New Roman"/>
          <w:bCs/>
        </w:rPr>
        <w:t>7</w:t>
      </w:r>
      <w:r w:rsidRPr="00BD662F">
        <w:rPr>
          <w:rFonts w:eastAsia="Calibri" w:cs="Times New Roman"/>
          <w:bCs/>
        </w:rPr>
        <w:t>5 teatist/miljoni elaniku kohta.</w:t>
      </w:r>
      <w:r w:rsidR="00BD662F">
        <w:rPr>
          <w:rFonts w:eastAsia="Calibri" w:cs="Times New Roman"/>
          <w:bCs/>
        </w:rPr>
        <w:t xml:space="preserve"> </w:t>
      </w:r>
      <w:r w:rsidRPr="00BD662F">
        <w:rPr>
          <w:rFonts w:eastAsia="Calibri" w:cs="Times New Roman"/>
          <w:bCs/>
        </w:rPr>
        <w:t xml:space="preserve">Arvestades, et Eestis on elanikke u. 1,3 miljonit, võiks </w:t>
      </w:r>
      <w:r w:rsidR="004C3CBD" w:rsidRPr="00BD662F">
        <w:rPr>
          <w:rFonts w:eastAsia="Calibri" w:cs="Times New Roman"/>
          <w:bCs/>
        </w:rPr>
        <w:t xml:space="preserve">aastas olla kõrvaltoime teatisi </w:t>
      </w:r>
      <w:r w:rsidRPr="00BD662F">
        <w:rPr>
          <w:rFonts w:eastAsia="Calibri" w:cs="Times New Roman"/>
          <w:bCs/>
        </w:rPr>
        <w:t>260.</w:t>
      </w:r>
    </w:p>
    <w:p w14:paraId="4036BE15" w14:textId="77777777" w:rsidR="00F71F04" w:rsidRPr="00BD662F" w:rsidRDefault="00F71F04" w:rsidP="00F71F04">
      <w:pPr>
        <w:spacing w:before="100" w:beforeAutospacing="1" w:after="100" w:afterAutospacing="1" w:line="336" w:lineRule="auto"/>
        <w:rPr>
          <w:rFonts w:eastAsia="Calibri" w:cs="Times New Roman"/>
          <w:bCs/>
        </w:rPr>
      </w:pPr>
      <w:r w:rsidRPr="00BD662F">
        <w:rPr>
          <w:rFonts w:eastAsia="Calibri" w:cs="Times New Roman"/>
          <w:bCs/>
        </w:rPr>
        <w:t>Hindame kõrgelt kõigi panust, kes on senini meile olulist infot võimalike kõrvaltoimete kohta edastanud.</w:t>
      </w:r>
    </w:p>
    <w:p w14:paraId="0F270B51" w14:textId="77777777" w:rsidR="00F71F04" w:rsidRPr="005A0A55" w:rsidRDefault="00F71F04" w:rsidP="00F71F04">
      <w:pPr>
        <w:keepNext/>
        <w:keepLines/>
        <w:spacing w:before="480" w:after="0"/>
        <w:outlineLvl w:val="0"/>
        <w:rPr>
          <w:rFonts w:eastAsia="Times New Roman" w:cs="Times New Roman"/>
          <w:b/>
          <w:bCs/>
          <w:color w:val="365F91"/>
          <w:sz w:val="28"/>
          <w:szCs w:val="28"/>
        </w:rPr>
      </w:pPr>
      <w:r w:rsidRPr="005A0A55">
        <w:rPr>
          <w:rFonts w:eastAsia="Times New Roman" w:cs="Times New Roman"/>
          <w:b/>
          <w:bCs/>
          <w:color w:val="365F91"/>
          <w:sz w:val="28"/>
          <w:szCs w:val="28"/>
        </w:rPr>
        <w:t>Kuidas teatada kõrvaltoimest</w:t>
      </w:r>
    </w:p>
    <w:p w14:paraId="67E9D42D" w14:textId="77777777" w:rsidR="00F71F04" w:rsidRPr="00BD662F" w:rsidRDefault="00F71F04" w:rsidP="00F71F04">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Kõige lihtsam on kõrvaltoimest teatada Ravimiameti veebilehe kaudu täites elektroonilise teatise meie kodulehel (</w:t>
      </w:r>
      <w:hyperlink r:id="rId12" w:tgtFrame="_blank" w:history="1">
        <w:r w:rsidRPr="00BD662F">
          <w:rPr>
            <w:rFonts w:eastAsia="Times New Roman" w:cs="Arial"/>
            <w:color w:val="0000FF"/>
            <w:u w:val="single"/>
            <w:lang w:eastAsia="et-EE"/>
          </w:rPr>
          <w:t>http://www.ravimiamet.ee/ravimi-korvaltoime-teatis</w:t>
        </w:r>
      </w:hyperlink>
      <w:r w:rsidRPr="00BD662F">
        <w:rPr>
          <w:rFonts w:eastAsia="Times New Roman" w:cs="Arial"/>
          <w:color w:val="2B3244"/>
          <w:lang w:eastAsia="et-EE"/>
        </w:rPr>
        <w:t>), kus on eraldi vormid ja juhendid patsiendile ja arstile.</w:t>
      </w:r>
      <w:r w:rsidRPr="00BD662F">
        <w:rPr>
          <w:rFonts w:eastAsia="Times New Roman" w:cs="Arial"/>
          <w:color w:val="2B3244"/>
          <w:lang w:eastAsia="et-EE"/>
        </w:rPr>
        <w:br/>
        <w:t>Kõrvaltoimest võib Ravimiametit teavitada ka e-kirja (</w:t>
      </w:r>
      <w:hyperlink r:id="rId13" w:history="1">
        <w:r w:rsidRPr="00BD662F">
          <w:rPr>
            <w:rFonts w:eastAsia="Times New Roman" w:cs="Arial"/>
            <w:color w:val="0000FF"/>
            <w:u w:val="single"/>
            <w:lang w:eastAsia="et-EE"/>
          </w:rPr>
          <w:t>pharmacovig@ravimiamet.ee</w:t>
        </w:r>
      </w:hyperlink>
      <w:r w:rsidRPr="00BD662F">
        <w:rPr>
          <w:rFonts w:eastAsia="Times New Roman" w:cs="Arial"/>
          <w:color w:val="2B3244"/>
          <w:lang w:eastAsia="et-EE"/>
        </w:rPr>
        <w:t>), faksi (7 374 142) või posti (Nooruse 1, 50411 Tartu) teel.</w:t>
      </w:r>
    </w:p>
    <w:p w14:paraId="107DB391" w14:textId="77777777" w:rsidR="00F71F04" w:rsidRPr="00BD662F" w:rsidRDefault="00F71F04" w:rsidP="00F71F04">
      <w:pPr>
        <w:spacing w:before="100" w:beforeAutospacing="1" w:after="100" w:afterAutospacing="1" w:line="336" w:lineRule="auto"/>
        <w:rPr>
          <w:rFonts w:eastAsia="Times New Roman" w:cs="Arial"/>
          <w:color w:val="2B3244"/>
          <w:lang w:eastAsia="et-EE"/>
        </w:rPr>
      </w:pPr>
      <w:r w:rsidRPr="00BD662F">
        <w:rPr>
          <w:rFonts w:eastAsia="Times New Roman" w:cs="Arial"/>
          <w:color w:val="2B3244"/>
          <w:lang w:eastAsia="et-EE"/>
        </w:rPr>
        <w:t>Täiendav teave:</w:t>
      </w:r>
      <w:r w:rsidRPr="00BD662F">
        <w:rPr>
          <w:rFonts w:eastAsia="Times New Roman" w:cs="Arial"/>
          <w:color w:val="2B3244"/>
          <w:lang w:eastAsia="et-EE"/>
        </w:rPr>
        <w:br/>
        <w:t xml:space="preserve">e-post: </w:t>
      </w:r>
      <w:hyperlink r:id="rId14" w:history="1">
        <w:r w:rsidRPr="00BD662F">
          <w:rPr>
            <w:rFonts w:eastAsia="Times New Roman" w:cs="Arial"/>
            <w:color w:val="0000FF"/>
            <w:u w:val="single"/>
            <w:lang w:eastAsia="et-EE"/>
          </w:rPr>
          <w:t>pharmacovig@ravimiamet.ee</w:t>
        </w:r>
      </w:hyperlink>
      <w:r w:rsidRPr="00BD662F">
        <w:rPr>
          <w:rFonts w:eastAsia="Times New Roman" w:cs="Arial"/>
          <w:color w:val="2B3244"/>
          <w:lang w:eastAsia="et-EE"/>
        </w:rPr>
        <w:br/>
        <w:t>telefon: 7 374 140</w:t>
      </w:r>
    </w:p>
    <w:sectPr w:rsidR="00F71F04" w:rsidRPr="00BD662F">
      <w:footerReference w:type="default" r:id="rId15"/>
      <w:pgSz w:w="11906" w:h="16838" w:code="9"/>
      <w:pgMar w:top="1440" w:right="1440" w:bottom="1440" w:left="1440" w:header="720" w:footer="720"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D6F68" w15:done="0"/>
  <w15:commentEx w15:paraId="0EF062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276C" w14:textId="77777777" w:rsidR="005E1341" w:rsidRDefault="005E1341">
      <w:pPr>
        <w:spacing w:after="0" w:line="240" w:lineRule="auto"/>
      </w:pPr>
      <w:r>
        <w:separator/>
      </w:r>
    </w:p>
  </w:endnote>
  <w:endnote w:type="continuationSeparator" w:id="0">
    <w:p w14:paraId="23998976" w14:textId="77777777" w:rsidR="005E1341" w:rsidRDefault="005E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12874"/>
      <w:docPartObj>
        <w:docPartGallery w:val="Page Numbers (Bottom of Page)"/>
        <w:docPartUnique/>
      </w:docPartObj>
    </w:sdtPr>
    <w:sdtEndPr>
      <w:rPr>
        <w:noProof/>
      </w:rPr>
    </w:sdtEndPr>
    <w:sdtContent>
      <w:p w14:paraId="60BC2031" w14:textId="77777777" w:rsidR="004B41C0" w:rsidRDefault="004B41C0">
        <w:pPr>
          <w:pStyle w:val="Footer"/>
          <w:jc w:val="right"/>
        </w:pPr>
        <w:r>
          <w:fldChar w:fldCharType="begin"/>
        </w:r>
        <w:r>
          <w:instrText xml:space="preserve"> PAGE   \* MERGEFORMAT </w:instrText>
        </w:r>
        <w:r>
          <w:fldChar w:fldCharType="separate"/>
        </w:r>
        <w:r w:rsidR="00FD4CEC">
          <w:rPr>
            <w:noProof/>
          </w:rPr>
          <w:t>14</w:t>
        </w:r>
        <w:r>
          <w:rPr>
            <w:noProof/>
          </w:rPr>
          <w:fldChar w:fldCharType="end"/>
        </w:r>
      </w:p>
    </w:sdtContent>
  </w:sdt>
  <w:p w14:paraId="2C2BD1A4" w14:textId="77777777" w:rsidR="004B41C0" w:rsidRDefault="004B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1D17D" w14:textId="77777777" w:rsidR="005E1341" w:rsidRDefault="005E1341">
      <w:pPr>
        <w:spacing w:after="0" w:line="240" w:lineRule="auto"/>
      </w:pPr>
      <w:r>
        <w:separator/>
      </w:r>
    </w:p>
  </w:footnote>
  <w:footnote w:type="continuationSeparator" w:id="0">
    <w:p w14:paraId="71507872" w14:textId="77777777" w:rsidR="005E1341" w:rsidRDefault="005E1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59F"/>
    <w:multiLevelType w:val="hybridMultilevel"/>
    <w:tmpl w:val="3A56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E4325"/>
    <w:multiLevelType w:val="multilevel"/>
    <w:tmpl w:val="6DD4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21458"/>
    <w:multiLevelType w:val="multilevel"/>
    <w:tmpl w:val="F0E2A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D71B0"/>
    <w:multiLevelType w:val="hybridMultilevel"/>
    <w:tmpl w:val="3C084C26"/>
    <w:lvl w:ilvl="0" w:tplc="9F4CA06E">
      <w:start w:val="2013"/>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C1670E9"/>
    <w:multiLevelType w:val="multilevel"/>
    <w:tmpl w:val="D55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C6F16"/>
    <w:multiLevelType w:val="hybridMultilevel"/>
    <w:tmpl w:val="3042AC90"/>
    <w:lvl w:ilvl="0" w:tplc="13E45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ve Vestman">
    <w15:presenceInfo w15:providerId="Windows Live" w15:userId="fad66a020101b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60"/>
    <w:rsid w:val="00014CA2"/>
    <w:rsid w:val="00020CFE"/>
    <w:rsid w:val="00025446"/>
    <w:rsid w:val="00071462"/>
    <w:rsid w:val="00072E1B"/>
    <w:rsid w:val="000955E9"/>
    <w:rsid w:val="000C373F"/>
    <w:rsid w:val="000D14B6"/>
    <w:rsid w:val="000D5F8E"/>
    <w:rsid w:val="00105476"/>
    <w:rsid w:val="00133F70"/>
    <w:rsid w:val="00134531"/>
    <w:rsid w:val="001358E6"/>
    <w:rsid w:val="001410FC"/>
    <w:rsid w:val="0014685A"/>
    <w:rsid w:val="0017702F"/>
    <w:rsid w:val="001A7033"/>
    <w:rsid w:val="001A7159"/>
    <w:rsid w:val="001C1F5A"/>
    <w:rsid w:val="001D0B58"/>
    <w:rsid w:val="001D6C12"/>
    <w:rsid w:val="001D795B"/>
    <w:rsid w:val="001E4704"/>
    <w:rsid w:val="001F79D2"/>
    <w:rsid w:val="002048A6"/>
    <w:rsid w:val="002224D2"/>
    <w:rsid w:val="00244A7E"/>
    <w:rsid w:val="0025582C"/>
    <w:rsid w:val="002644BE"/>
    <w:rsid w:val="002759AA"/>
    <w:rsid w:val="002821B1"/>
    <w:rsid w:val="002B0543"/>
    <w:rsid w:val="002B7BEC"/>
    <w:rsid w:val="002C307B"/>
    <w:rsid w:val="002D2C70"/>
    <w:rsid w:val="002E4724"/>
    <w:rsid w:val="00306F95"/>
    <w:rsid w:val="00314B00"/>
    <w:rsid w:val="00317D2D"/>
    <w:rsid w:val="00331FF9"/>
    <w:rsid w:val="0033226D"/>
    <w:rsid w:val="00365804"/>
    <w:rsid w:val="00377C5E"/>
    <w:rsid w:val="0038089C"/>
    <w:rsid w:val="003825A7"/>
    <w:rsid w:val="00392889"/>
    <w:rsid w:val="003C1C74"/>
    <w:rsid w:val="003C611D"/>
    <w:rsid w:val="00400EA4"/>
    <w:rsid w:val="004127DB"/>
    <w:rsid w:val="00426C4E"/>
    <w:rsid w:val="0046208D"/>
    <w:rsid w:val="004B41C0"/>
    <w:rsid w:val="004C1265"/>
    <w:rsid w:val="004C3CBD"/>
    <w:rsid w:val="004C4807"/>
    <w:rsid w:val="004D45F1"/>
    <w:rsid w:val="004D685E"/>
    <w:rsid w:val="004F4C4B"/>
    <w:rsid w:val="004F77C9"/>
    <w:rsid w:val="004F7A28"/>
    <w:rsid w:val="0050035D"/>
    <w:rsid w:val="00504990"/>
    <w:rsid w:val="005069C6"/>
    <w:rsid w:val="00516DB5"/>
    <w:rsid w:val="00525569"/>
    <w:rsid w:val="005459BC"/>
    <w:rsid w:val="00560BAC"/>
    <w:rsid w:val="0058460C"/>
    <w:rsid w:val="00585DA5"/>
    <w:rsid w:val="00592C59"/>
    <w:rsid w:val="005A0A55"/>
    <w:rsid w:val="005A6A9A"/>
    <w:rsid w:val="005E1341"/>
    <w:rsid w:val="005E6B56"/>
    <w:rsid w:val="006013FC"/>
    <w:rsid w:val="00647C21"/>
    <w:rsid w:val="00657B60"/>
    <w:rsid w:val="00661E17"/>
    <w:rsid w:val="00662E56"/>
    <w:rsid w:val="00673EBA"/>
    <w:rsid w:val="006A17A0"/>
    <w:rsid w:val="006A245D"/>
    <w:rsid w:val="006A5056"/>
    <w:rsid w:val="00704FEA"/>
    <w:rsid w:val="00715915"/>
    <w:rsid w:val="007172D7"/>
    <w:rsid w:val="00753470"/>
    <w:rsid w:val="0076295D"/>
    <w:rsid w:val="007777D3"/>
    <w:rsid w:val="00782672"/>
    <w:rsid w:val="007A209E"/>
    <w:rsid w:val="007A286F"/>
    <w:rsid w:val="007B618B"/>
    <w:rsid w:val="00820C46"/>
    <w:rsid w:val="00823FC0"/>
    <w:rsid w:val="00832F2E"/>
    <w:rsid w:val="008500AB"/>
    <w:rsid w:val="00860B24"/>
    <w:rsid w:val="008676CA"/>
    <w:rsid w:val="00872814"/>
    <w:rsid w:val="0087478B"/>
    <w:rsid w:val="008749E9"/>
    <w:rsid w:val="008932F0"/>
    <w:rsid w:val="008C490E"/>
    <w:rsid w:val="008D0A5E"/>
    <w:rsid w:val="008F4A2C"/>
    <w:rsid w:val="00915500"/>
    <w:rsid w:val="009275C5"/>
    <w:rsid w:val="00947D82"/>
    <w:rsid w:val="00965177"/>
    <w:rsid w:val="00981B9E"/>
    <w:rsid w:val="00997111"/>
    <w:rsid w:val="009B759E"/>
    <w:rsid w:val="009B7D35"/>
    <w:rsid w:val="009B7FDB"/>
    <w:rsid w:val="009D7104"/>
    <w:rsid w:val="009E37AC"/>
    <w:rsid w:val="00A032EF"/>
    <w:rsid w:val="00A110A7"/>
    <w:rsid w:val="00A15DC0"/>
    <w:rsid w:val="00A26908"/>
    <w:rsid w:val="00A4484D"/>
    <w:rsid w:val="00A4495F"/>
    <w:rsid w:val="00A47C2E"/>
    <w:rsid w:val="00A75325"/>
    <w:rsid w:val="00AA0759"/>
    <w:rsid w:val="00AC1F8A"/>
    <w:rsid w:val="00AC2C8E"/>
    <w:rsid w:val="00AD24C2"/>
    <w:rsid w:val="00AE6D91"/>
    <w:rsid w:val="00B52741"/>
    <w:rsid w:val="00B55360"/>
    <w:rsid w:val="00B55AD9"/>
    <w:rsid w:val="00B85592"/>
    <w:rsid w:val="00BB1DCB"/>
    <w:rsid w:val="00BB48DE"/>
    <w:rsid w:val="00BD662F"/>
    <w:rsid w:val="00BF6568"/>
    <w:rsid w:val="00C100B8"/>
    <w:rsid w:val="00C321F1"/>
    <w:rsid w:val="00C35E21"/>
    <w:rsid w:val="00C47C32"/>
    <w:rsid w:val="00C53204"/>
    <w:rsid w:val="00C71317"/>
    <w:rsid w:val="00C85BEE"/>
    <w:rsid w:val="00C86F22"/>
    <w:rsid w:val="00C96EDE"/>
    <w:rsid w:val="00CB246C"/>
    <w:rsid w:val="00CB6596"/>
    <w:rsid w:val="00CC247F"/>
    <w:rsid w:val="00CD4241"/>
    <w:rsid w:val="00CE44A8"/>
    <w:rsid w:val="00CE4F72"/>
    <w:rsid w:val="00D064B9"/>
    <w:rsid w:val="00D16083"/>
    <w:rsid w:val="00D31B7A"/>
    <w:rsid w:val="00D31CBA"/>
    <w:rsid w:val="00D464A9"/>
    <w:rsid w:val="00D6458E"/>
    <w:rsid w:val="00D764A6"/>
    <w:rsid w:val="00D9358B"/>
    <w:rsid w:val="00D95541"/>
    <w:rsid w:val="00DB2FA3"/>
    <w:rsid w:val="00DC06CC"/>
    <w:rsid w:val="00DC2245"/>
    <w:rsid w:val="00DE367D"/>
    <w:rsid w:val="00DF1AC7"/>
    <w:rsid w:val="00E0145E"/>
    <w:rsid w:val="00E1667A"/>
    <w:rsid w:val="00E26DA6"/>
    <w:rsid w:val="00E36503"/>
    <w:rsid w:val="00E3703F"/>
    <w:rsid w:val="00E55E9E"/>
    <w:rsid w:val="00EB2EE0"/>
    <w:rsid w:val="00EB7361"/>
    <w:rsid w:val="00ED6250"/>
    <w:rsid w:val="00EF5C93"/>
    <w:rsid w:val="00F05227"/>
    <w:rsid w:val="00F06B30"/>
    <w:rsid w:val="00F06E50"/>
    <w:rsid w:val="00F25795"/>
    <w:rsid w:val="00F36C40"/>
    <w:rsid w:val="00F55110"/>
    <w:rsid w:val="00F66B4F"/>
    <w:rsid w:val="00F71A42"/>
    <w:rsid w:val="00F71F04"/>
    <w:rsid w:val="00F73135"/>
    <w:rsid w:val="00F75C7B"/>
    <w:rsid w:val="00F87D66"/>
    <w:rsid w:val="00FD4BF9"/>
    <w:rsid w:val="00FD4CEC"/>
    <w:rsid w:val="00FE5D86"/>
    <w:rsid w:val="00FE69EB"/>
    <w:rsid w:val="00FF0C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rmacovig@ravimiamet.e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vimiamet.ee/ravimi-korvaltoime-teat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ho-umc.org/Graphics/24734.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pharmacovig@ravimiamet.e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m.ravimiamet.lan\programs\Ravimid\Ohutus\INFOteistele\Kodulehele&amp;meilile\ADRkokkuv&#931;te\kokkuvote%20tabelin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m.ravimiamet.lan\programs\Ravimid\Ohutus\INFOteistele\Kodulehele&amp;meilile\ADRkokkuv&#931;te\kokkuvote%20tabelin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600"/>
              <a:t>Kõrvaltoime</a:t>
            </a:r>
            <a:r>
              <a:rPr lang="et-EE" sz="1600" baseline="0"/>
              <a:t> teatiste </a:t>
            </a:r>
            <a:r>
              <a:rPr lang="en-US" sz="1600"/>
              <a:t>arv</a:t>
            </a:r>
            <a:endParaRPr lang="et-EE" sz="1600"/>
          </a:p>
          <a:p>
            <a:pPr>
              <a:defRPr/>
            </a:pPr>
            <a:r>
              <a:rPr lang="et-EE" sz="1600"/>
              <a:t>1993-2015</a:t>
            </a:r>
            <a:endParaRPr lang="en-US" sz="1600"/>
          </a:p>
        </c:rich>
      </c:tx>
      <c:layout>
        <c:manualLayout>
          <c:xMode val="edge"/>
          <c:yMode val="edge"/>
          <c:x val="0.32369514352754258"/>
          <c:y val="1.1105991510580216E-2"/>
        </c:manualLayout>
      </c:layout>
      <c:overlay val="0"/>
    </c:title>
    <c:autoTitleDeleted val="0"/>
    <c:plotArea>
      <c:layout>
        <c:manualLayout>
          <c:layoutTarget val="inner"/>
          <c:xMode val="edge"/>
          <c:yMode val="edge"/>
          <c:x val="5.7579939666859169E-2"/>
          <c:y val="0.2206513815031638"/>
          <c:w val="0.9203127509188479"/>
          <c:h val="0.63921259842519684"/>
        </c:manualLayout>
      </c:layout>
      <c:barChart>
        <c:barDir val="col"/>
        <c:grouping val="clustered"/>
        <c:varyColors val="0"/>
        <c:ser>
          <c:idx val="0"/>
          <c:order val="0"/>
          <c:tx>
            <c:strRef>
              <c:f>Sheet1!$A$7</c:f>
              <c:strCache>
                <c:ptCount val="1"/>
                <c:pt idx="0">
                  <c:v>teatiste arv</c:v>
                </c:pt>
              </c:strCache>
            </c:strRef>
          </c:tx>
          <c:invertIfNegative val="0"/>
          <c:cat>
            <c:numRef>
              <c:f>Sheet1!$B$6:$X$6</c:f>
              <c:numCache>
                <c:formatCode>General</c:formatCode>
                <c:ptCount val="23"/>
                <c:pt idx="0">
                  <c:v>93</c:v>
                </c:pt>
                <c:pt idx="1">
                  <c:v>94</c:v>
                </c:pt>
                <c:pt idx="2">
                  <c:v>95</c:v>
                </c:pt>
                <c:pt idx="3">
                  <c:v>96</c:v>
                </c:pt>
                <c:pt idx="4">
                  <c:v>97</c:v>
                </c:pt>
                <c:pt idx="5">
                  <c:v>98</c:v>
                </c:pt>
                <c:pt idx="6">
                  <c:v>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Sheet1!$B$7:$X$7</c:f>
              <c:numCache>
                <c:formatCode>General</c:formatCode>
                <c:ptCount val="23"/>
                <c:pt idx="0">
                  <c:v>0</c:v>
                </c:pt>
                <c:pt idx="1">
                  <c:v>0</c:v>
                </c:pt>
                <c:pt idx="2">
                  <c:v>4</c:v>
                </c:pt>
                <c:pt idx="3">
                  <c:v>5</c:v>
                </c:pt>
                <c:pt idx="4">
                  <c:v>3</c:v>
                </c:pt>
                <c:pt idx="5">
                  <c:v>23</c:v>
                </c:pt>
                <c:pt idx="6">
                  <c:v>22</c:v>
                </c:pt>
                <c:pt idx="7">
                  <c:v>39</c:v>
                </c:pt>
                <c:pt idx="8">
                  <c:v>43</c:v>
                </c:pt>
                <c:pt idx="9">
                  <c:v>39</c:v>
                </c:pt>
                <c:pt idx="10">
                  <c:v>41</c:v>
                </c:pt>
                <c:pt idx="11">
                  <c:v>61</c:v>
                </c:pt>
                <c:pt idx="12">
                  <c:v>79</c:v>
                </c:pt>
                <c:pt idx="13">
                  <c:v>58</c:v>
                </c:pt>
                <c:pt idx="14">
                  <c:v>65</c:v>
                </c:pt>
                <c:pt idx="15">
                  <c:v>93</c:v>
                </c:pt>
                <c:pt idx="16">
                  <c:v>103</c:v>
                </c:pt>
                <c:pt idx="17">
                  <c:v>177</c:v>
                </c:pt>
                <c:pt idx="18">
                  <c:v>120</c:v>
                </c:pt>
                <c:pt idx="19">
                  <c:v>132</c:v>
                </c:pt>
                <c:pt idx="20">
                  <c:v>155</c:v>
                </c:pt>
                <c:pt idx="21">
                  <c:v>176</c:v>
                </c:pt>
                <c:pt idx="22">
                  <c:v>229</c:v>
                </c:pt>
              </c:numCache>
            </c:numRef>
          </c:val>
        </c:ser>
        <c:dLbls>
          <c:showLegendKey val="0"/>
          <c:showVal val="0"/>
          <c:showCatName val="0"/>
          <c:showSerName val="0"/>
          <c:showPercent val="0"/>
          <c:showBubbleSize val="0"/>
        </c:dLbls>
        <c:gapWidth val="150"/>
        <c:axId val="107369984"/>
        <c:axId val="107371520"/>
      </c:barChart>
      <c:catAx>
        <c:axId val="107369984"/>
        <c:scaling>
          <c:orientation val="minMax"/>
        </c:scaling>
        <c:delete val="0"/>
        <c:axPos val="b"/>
        <c:numFmt formatCode="General" sourceLinked="1"/>
        <c:majorTickMark val="out"/>
        <c:minorTickMark val="none"/>
        <c:tickLblPos val="nextTo"/>
        <c:crossAx val="107371520"/>
        <c:crosses val="autoZero"/>
        <c:auto val="1"/>
        <c:lblAlgn val="ctr"/>
        <c:lblOffset val="100"/>
        <c:noMultiLvlLbl val="0"/>
      </c:catAx>
      <c:valAx>
        <c:axId val="107371520"/>
        <c:scaling>
          <c:orientation val="minMax"/>
        </c:scaling>
        <c:delete val="0"/>
        <c:axPos val="l"/>
        <c:majorGridlines/>
        <c:numFmt formatCode="General" sourceLinked="1"/>
        <c:majorTickMark val="out"/>
        <c:minorTickMark val="none"/>
        <c:tickLblPos val="nextTo"/>
        <c:crossAx val="107369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P</a:t>
            </a:r>
            <a:r>
              <a:rPr lang="en-US"/>
              <a:t>atsiendi teatiste </a:t>
            </a:r>
            <a:r>
              <a:rPr lang="et-EE"/>
              <a:t> arv</a:t>
            </a:r>
            <a:endParaRPr lang="en-US"/>
          </a:p>
        </c:rich>
      </c:tx>
      <c:layout/>
      <c:overlay val="0"/>
    </c:title>
    <c:autoTitleDeleted val="0"/>
    <c:plotArea>
      <c:layout/>
      <c:barChart>
        <c:barDir val="col"/>
        <c:grouping val="clustered"/>
        <c:varyColors val="0"/>
        <c:ser>
          <c:idx val="0"/>
          <c:order val="0"/>
          <c:tx>
            <c:strRef>
              <c:f>Sheet1!$A$3:$B$3</c:f>
              <c:strCache>
                <c:ptCount val="1"/>
                <c:pt idx="0">
                  <c:v>patsiendi teatiste arv (sh proviisori abiga saadetud) teatiste arv</c:v>
                </c:pt>
              </c:strCache>
            </c:strRef>
          </c:tx>
          <c:invertIfNegative val="0"/>
          <c:cat>
            <c:numRef>
              <c:f>Sheet1!$C$2:$K$2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Sheet1!$C$3:$K$3</c:f>
              <c:numCache>
                <c:formatCode>General</c:formatCode>
                <c:ptCount val="9"/>
                <c:pt idx="0">
                  <c:v>2</c:v>
                </c:pt>
                <c:pt idx="1">
                  <c:v>3</c:v>
                </c:pt>
                <c:pt idx="2">
                  <c:v>4</c:v>
                </c:pt>
                <c:pt idx="3">
                  <c:v>2</c:v>
                </c:pt>
                <c:pt idx="4">
                  <c:v>5</c:v>
                </c:pt>
                <c:pt idx="5">
                  <c:v>12</c:v>
                </c:pt>
                <c:pt idx="6">
                  <c:v>29</c:v>
                </c:pt>
                <c:pt idx="7">
                  <c:v>28</c:v>
                </c:pt>
                <c:pt idx="8">
                  <c:v>48</c:v>
                </c:pt>
              </c:numCache>
            </c:numRef>
          </c:val>
        </c:ser>
        <c:dLbls>
          <c:showLegendKey val="0"/>
          <c:showVal val="0"/>
          <c:showCatName val="0"/>
          <c:showSerName val="0"/>
          <c:showPercent val="0"/>
          <c:showBubbleSize val="0"/>
        </c:dLbls>
        <c:gapWidth val="150"/>
        <c:axId val="107404672"/>
        <c:axId val="108205184"/>
      </c:barChart>
      <c:catAx>
        <c:axId val="107404672"/>
        <c:scaling>
          <c:orientation val="minMax"/>
        </c:scaling>
        <c:delete val="0"/>
        <c:axPos val="b"/>
        <c:numFmt formatCode="General" sourceLinked="1"/>
        <c:majorTickMark val="out"/>
        <c:minorTickMark val="none"/>
        <c:tickLblPos val="nextTo"/>
        <c:crossAx val="108205184"/>
        <c:crosses val="autoZero"/>
        <c:auto val="1"/>
        <c:lblAlgn val="ctr"/>
        <c:lblOffset val="100"/>
        <c:noMultiLvlLbl val="0"/>
      </c:catAx>
      <c:valAx>
        <c:axId val="108205184"/>
        <c:scaling>
          <c:orientation val="minMax"/>
        </c:scaling>
        <c:delete val="0"/>
        <c:axPos val="l"/>
        <c:majorGridlines/>
        <c:numFmt formatCode="General" sourceLinked="1"/>
        <c:majorTickMark val="out"/>
        <c:minorTickMark val="none"/>
        <c:tickLblPos val="nextTo"/>
        <c:crossAx val="107404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B8AB-F2A3-4447-B3DC-8C74216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4408</Words>
  <Characters>25567</Characters>
  <Application>Microsoft Office Word</Application>
  <DocSecurity>0</DocSecurity>
  <Lines>213</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Helve Vestman</dc:creator>
  <cp:lastModifiedBy>Maia Uusküla</cp:lastModifiedBy>
  <cp:revision>3</cp:revision>
  <dcterms:created xsi:type="dcterms:W3CDTF">2016-02-03T12:28:00Z</dcterms:created>
  <dcterms:modified xsi:type="dcterms:W3CDTF">2016-02-03T13:24:00Z</dcterms:modified>
</cp:coreProperties>
</file>